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4DE" w:rsidRPr="001D7EEF" w:rsidRDefault="006854DE" w:rsidP="006854DE">
      <w:pPr>
        <w:widowControl w:val="0"/>
        <w:autoSpaceDE w:val="0"/>
        <w:autoSpaceDN w:val="0"/>
        <w:adjustRightInd w:val="0"/>
        <w:spacing w:after="0" w:line="240" w:lineRule="auto"/>
        <w:ind w:left="170" w:right="170"/>
        <w:rPr>
          <w:b/>
          <w:bCs/>
          <w:sz w:val="20"/>
          <w:u w:val="single"/>
        </w:rPr>
      </w:pPr>
      <w:r w:rsidRPr="001D7EEF">
        <w:rPr>
          <w:b/>
          <w:bCs/>
          <w:sz w:val="20"/>
          <w:u w:val="single"/>
        </w:rPr>
        <w:t>Resmi Gazete Dışından Kaynak</w:t>
      </w:r>
    </w:p>
    <w:p w:rsidR="006854DE" w:rsidRDefault="006854DE" w:rsidP="006854DE">
      <w:pPr>
        <w:widowControl w:val="0"/>
        <w:autoSpaceDE w:val="0"/>
        <w:autoSpaceDN w:val="0"/>
        <w:adjustRightInd w:val="0"/>
        <w:spacing w:after="0" w:line="240" w:lineRule="auto"/>
        <w:ind w:left="170" w:right="170"/>
        <w:rPr>
          <w:b/>
          <w:bCs/>
          <w:sz w:val="20"/>
          <w:u w:val="single"/>
        </w:rPr>
      </w:pPr>
      <w:r w:rsidRPr="001D7EEF">
        <w:rPr>
          <w:b/>
          <w:bCs/>
          <w:sz w:val="20"/>
          <w:u w:val="single"/>
        </w:rPr>
        <w:t>Hazine Müsteşarlığı</w:t>
      </w:r>
    </w:p>
    <w:p w:rsidR="00CD5880" w:rsidRPr="00DB777E" w:rsidRDefault="00CD5880" w:rsidP="006854DE">
      <w:pPr>
        <w:widowControl w:val="0"/>
        <w:autoSpaceDE w:val="0"/>
        <w:autoSpaceDN w:val="0"/>
        <w:adjustRightInd w:val="0"/>
        <w:spacing w:after="0" w:line="240" w:lineRule="auto"/>
        <w:ind w:left="170" w:right="170"/>
        <w:rPr>
          <w:b/>
          <w:bCs/>
          <w:sz w:val="20"/>
          <w:u w:val="single"/>
        </w:rPr>
      </w:pPr>
    </w:p>
    <w:p w:rsidR="006854DE" w:rsidRDefault="006854DE" w:rsidP="00CD5880">
      <w:pPr>
        <w:pStyle w:val="Balk2"/>
        <w:spacing w:before="0" w:after="0"/>
        <w:jc w:val="center"/>
        <w:rPr>
          <w:sz w:val="24"/>
          <w:szCs w:val="24"/>
        </w:rPr>
      </w:pPr>
      <w:r w:rsidRPr="00DB777E">
        <w:rPr>
          <w:sz w:val="24"/>
          <w:szCs w:val="24"/>
        </w:rPr>
        <w:t>11.07.2007 TARİHLİ VE 26579 SAYILI RESMİ GAZETE’DE YAYIMLANAN 2007/1 SAYILI SİGORTA BRANŞLARINA İLİŞKİN TEBLİĞİN UYGULAMA ESASLARINA DAİR GENELGE (2007/11)</w:t>
      </w:r>
    </w:p>
    <w:p w:rsidR="00CD5880" w:rsidRDefault="00CD5880" w:rsidP="00CD5880">
      <w:pPr>
        <w:spacing w:after="0"/>
      </w:pPr>
    </w:p>
    <w:p w:rsidR="00CD5880" w:rsidRPr="00CD5880" w:rsidRDefault="00CD5880" w:rsidP="00CD5880">
      <w:pPr>
        <w:spacing w:after="0"/>
      </w:pPr>
    </w:p>
    <w:p w:rsidR="006854DE" w:rsidRPr="008F5C19" w:rsidRDefault="006854DE" w:rsidP="00CD5880">
      <w:pPr>
        <w:widowControl w:val="0"/>
        <w:spacing w:after="0"/>
        <w:ind w:left="170" w:right="170"/>
        <w:jc w:val="both"/>
        <w:rPr>
          <w:rFonts w:eastAsiaTheme="minorHAnsi"/>
          <w:color w:val="000000"/>
          <w:kern w:val="16"/>
          <w:sz w:val="20"/>
          <w:lang w:eastAsia="en-US"/>
        </w:rPr>
      </w:pPr>
      <w:r w:rsidRPr="008F5C19">
        <w:rPr>
          <w:rFonts w:eastAsiaTheme="minorHAnsi"/>
          <w:color w:val="000000"/>
          <w:kern w:val="16"/>
          <w:sz w:val="20"/>
          <w:lang w:eastAsia="en-US"/>
        </w:rPr>
        <w:t xml:space="preserve">Bilindiği üzere, 2007/1 sayılı Sigorta Branşlarına İlişkin Tebliğ 11.07.2007 tarih ve 26579 sayılı Resmi </w:t>
      </w:r>
      <w:proofErr w:type="spellStart"/>
      <w:r w:rsidRPr="008F5C19">
        <w:rPr>
          <w:rFonts w:eastAsiaTheme="minorHAnsi"/>
          <w:color w:val="000000"/>
          <w:kern w:val="16"/>
          <w:sz w:val="20"/>
          <w:lang w:eastAsia="en-US"/>
        </w:rPr>
        <w:t>Gazete’de</w:t>
      </w:r>
      <w:proofErr w:type="spellEnd"/>
      <w:r w:rsidRPr="008F5C19">
        <w:rPr>
          <w:rFonts w:eastAsiaTheme="minorHAnsi"/>
          <w:color w:val="000000"/>
          <w:kern w:val="16"/>
          <w:sz w:val="20"/>
          <w:lang w:eastAsia="en-US"/>
        </w:rPr>
        <w:t xml:space="preserve"> yayımlanarak yürürlüğe girmiştir. Söz konusu Tebliğ aşağıdaki esaslar çerçevesinde uygulanacaktır.</w:t>
      </w:r>
    </w:p>
    <w:p w:rsidR="006854DE" w:rsidRPr="008F5C19" w:rsidRDefault="006854DE" w:rsidP="00CD5880">
      <w:pPr>
        <w:widowControl w:val="0"/>
        <w:spacing w:after="0"/>
        <w:ind w:left="170" w:right="170"/>
        <w:jc w:val="both"/>
        <w:rPr>
          <w:rFonts w:eastAsiaTheme="minorHAnsi"/>
          <w:color w:val="000000"/>
          <w:kern w:val="16"/>
          <w:sz w:val="20"/>
          <w:lang w:eastAsia="en-US"/>
        </w:rPr>
      </w:pPr>
      <w:r w:rsidRPr="008F5C19">
        <w:rPr>
          <w:rFonts w:eastAsiaTheme="minorHAnsi"/>
          <w:color w:val="000000"/>
          <w:kern w:val="16"/>
          <w:sz w:val="20"/>
          <w:lang w:eastAsia="en-US"/>
        </w:rPr>
        <w:t xml:space="preserve">1. Sigorta şirketleri söz konusu Tebliğde branşların altında yer alan teminatların tümünü veya bazılarını içerecek şekilde ruhsat talebinde bulunabilir. Ancak ruhsat, branşlar altında yer alan  teminatlar esas alınarak değil branş bazında verilir. Branş altındaki teminatların hepsini içerecek şekilde ruhsat talebinde bulunulmamışsa ruhsatnamede bu durum belirtilir. Örneğin, Yangın ve Doğal Afetler Branşından sadece sel için teminat vermek isteyen bir sigorta şirketine Yangın ve Doğal Afetler IV Ruhsatı verilir. Dolayısıyla sel teminatının verilebilmesi söz konusu </w:t>
      </w:r>
      <w:proofErr w:type="spellStart"/>
      <w:r w:rsidRPr="008F5C19">
        <w:rPr>
          <w:rFonts w:eastAsiaTheme="minorHAnsi"/>
          <w:color w:val="000000"/>
          <w:kern w:val="16"/>
          <w:sz w:val="20"/>
          <w:lang w:eastAsia="en-US"/>
        </w:rPr>
        <w:t>branşdan</w:t>
      </w:r>
      <w:proofErr w:type="spellEnd"/>
      <w:r w:rsidRPr="008F5C19">
        <w:rPr>
          <w:rFonts w:eastAsiaTheme="minorHAnsi"/>
          <w:color w:val="000000"/>
          <w:kern w:val="16"/>
          <w:sz w:val="20"/>
          <w:lang w:eastAsia="en-US"/>
        </w:rPr>
        <w:t xml:space="preserve"> alınacak ruhsatla mümkün olacaktır.   </w:t>
      </w:r>
    </w:p>
    <w:p w:rsidR="006854DE" w:rsidRPr="008F5C19" w:rsidRDefault="006854DE" w:rsidP="008F5C19">
      <w:pPr>
        <w:widowControl w:val="0"/>
        <w:spacing w:after="0"/>
        <w:ind w:left="170" w:right="170"/>
        <w:jc w:val="both"/>
        <w:rPr>
          <w:rFonts w:eastAsiaTheme="minorHAnsi"/>
          <w:color w:val="000000"/>
          <w:kern w:val="16"/>
          <w:sz w:val="20"/>
          <w:lang w:eastAsia="en-US"/>
        </w:rPr>
      </w:pPr>
      <w:r w:rsidRPr="008F5C19">
        <w:rPr>
          <w:rFonts w:eastAsiaTheme="minorHAnsi"/>
          <w:color w:val="000000"/>
          <w:kern w:val="16"/>
          <w:sz w:val="20"/>
          <w:lang w:eastAsia="en-US"/>
        </w:rPr>
        <w:t xml:space="preserve">2.  Reasürans şirketleri, hayat sigortası grubunun tamamını veya hayat dışı sigorta grubunun tamamını kapsar şekilde iki ayrı reasürans ruhsatı alabilir. </w:t>
      </w:r>
    </w:p>
    <w:p w:rsidR="006854DE" w:rsidRPr="008F5C19" w:rsidRDefault="006854DE" w:rsidP="008F5C19">
      <w:pPr>
        <w:widowControl w:val="0"/>
        <w:spacing w:after="0"/>
        <w:ind w:left="170" w:right="170"/>
        <w:jc w:val="both"/>
        <w:rPr>
          <w:rFonts w:eastAsiaTheme="minorHAnsi"/>
          <w:color w:val="000000"/>
          <w:kern w:val="16"/>
          <w:sz w:val="20"/>
          <w:lang w:eastAsia="en-US"/>
        </w:rPr>
      </w:pPr>
      <w:r w:rsidRPr="008F5C19">
        <w:rPr>
          <w:rFonts w:eastAsiaTheme="minorHAnsi"/>
          <w:color w:val="000000"/>
          <w:kern w:val="16"/>
          <w:sz w:val="20"/>
          <w:lang w:eastAsia="en-US"/>
        </w:rPr>
        <w:t xml:space="preserve">3. Tebliğ’in “B. Birden fazla branş için verilen ruhsat tanımları” kısmında yer alan sınıflandırmalar kapsamında ruhsat almak isteyen sigorta şirketlerine, talep ettikleri her bir branş için 2007/4 sayılı “Sigorta Branşları İçin Öngörülen Sermaye Tutarlarına İlişkin Genelge” ile belirlenen sermaye şartını yerine getirmek koşuluyla, birden fazla branşı kapsayacak şekilde toplulaştırılmış ruhsat verilir. </w:t>
      </w:r>
    </w:p>
    <w:p w:rsidR="006854DE" w:rsidRPr="008F5C19" w:rsidRDefault="006854DE" w:rsidP="008F5C19">
      <w:pPr>
        <w:widowControl w:val="0"/>
        <w:spacing w:after="0"/>
        <w:ind w:left="170" w:right="170"/>
        <w:jc w:val="both"/>
        <w:rPr>
          <w:rFonts w:eastAsiaTheme="minorHAnsi"/>
          <w:color w:val="000000"/>
          <w:kern w:val="16"/>
          <w:sz w:val="20"/>
          <w:lang w:eastAsia="en-US"/>
        </w:rPr>
      </w:pPr>
      <w:r w:rsidRPr="008F5C19">
        <w:rPr>
          <w:rFonts w:eastAsiaTheme="minorHAnsi"/>
          <w:color w:val="000000"/>
          <w:kern w:val="16"/>
          <w:sz w:val="20"/>
          <w:lang w:eastAsia="en-US"/>
        </w:rPr>
        <w:t xml:space="preserve">4. Bir branştan alınan ruhsat ile başka bir branşın konusunu teşkil eden riskler için bu risk, temel riskle bağlantılıysa veya temel riskin konusu menfaatle ilgiliyse veya temel riskle ilgili genel şartta belirtilmişse ayrı bir ruhsata gerek olmaksızın teminat verilebilir. </w:t>
      </w:r>
    </w:p>
    <w:p w:rsidR="006854DE" w:rsidRPr="008F5C19" w:rsidRDefault="006854DE" w:rsidP="008F5C19">
      <w:pPr>
        <w:widowControl w:val="0"/>
        <w:spacing w:after="0"/>
        <w:ind w:left="170" w:right="170"/>
        <w:jc w:val="both"/>
        <w:rPr>
          <w:rFonts w:eastAsiaTheme="minorHAnsi"/>
          <w:color w:val="000000"/>
          <w:kern w:val="16"/>
          <w:sz w:val="20"/>
          <w:lang w:eastAsia="en-US"/>
        </w:rPr>
      </w:pPr>
      <w:r w:rsidRPr="008F5C19">
        <w:rPr>
          <w:rFonts w:eastAsiaTheme="minorHAnsi"/>
          <w:color w:val="000000"/>
          <w:kern w:val="16"/>
          <w:sz w:val="20"/>
          <w:lang w:eastAsia="en-US"/>
        </w:rPr>
        <w:t xml:space="preserve">Örneğin, yöneticiler için yapılmış bir mesleki sorumluluk sigortasında hukuksal koruma ek teminat olarak verilmişse, söz konusu ek teminat sadece yöneticinin mesleki sorumluluğuyla bağlantılı olarak işler ve bu durumda teminatı veren sigorta şirketinden hukuksal koruma ruhsatı aranmaz. Dolayısıyla, yöneticiye, sigorta şirketi tarafından  normal şartlar altında hukuksal koruma teminatları arasında yer alan sürücü hukuksal koruma teminatı verilemez. Eğer sigorta şirketi, Hukuksal Koruma Sigortası Genel Şartları çerçevesinde sürücü hukuksal koruma teminatı vermek isterse, bunu başka bir riske bağlamadan Hukuksal Koruma Branşından ruhsat almak suretiyle yapabilir.  </w:t>
      </w:r>
    </w:p>
    <w:p w:rsidR="006854DE" w:rsidRPr="008F5C19" w:rsidRDefault="006854DE" w:rsidP="008F5C19">
      <w:pPr>
        <w:widowControl w:val="0"/>
        <w:spacing w:after="0"/>
        <w:ind w:left="170" w:right="170"/>
        <w:jc w:val="both"/>
        <w:rPr>
          <w:rFonts w:eastAsiaTheme="minorHAnsi"/>
          <w:color w:val="000000"/>
          <w:kern w:val="16"/>
          <w:sz w:val="20"/>
          <w:lang w:eastAsia="en-US"/>
        </w:rPr>
      </w:pPr>
      <w:r w:rsidRPr="008F5C19">
        <w:rPr>
          <w:rFonts w:eastAsiaTheme="minorHAnsi"/>
          <w:color w:val="000000"/>
          <w:kern w:val="16"/>
          <w:sz w:val="20"/>
          <w:lang w:eastAsia="en-US"/>
        </w:rPr>
        <w:t xml:space="preserve">5. Dördüncü madde uyarınca ek teminat olarak verilebilecek haller için 27.08.2007 tarih ve 2007/9 sayılı “Sigorta Sözleşmesi Konusu Teminatların Veriliş Şekline İlişkin </w:t>
      </w:r>
      <w:proofErr w:type="spellStart"/>
      <w:r w:rsidRPr="008F5C19">
        <w:rPr>
          <w:rFonts w:eastAsiaTheme="minorHAnsi"/>
          <w:color w:val="000000"/>
          <w:kern w:val="16"/>
          <w:sz w:val="20"/>
          <w:lang w:eastAsia="en-US"/>
        </w:rPr>
        <w:t>Genelge”’de</w:t>
      </w:r>
      <w:proofErr w:type="spellEnd"/>
      <w:r w:rsidRPr="008F5C19">
        <w:rPr>
          <w:rFonts w:eastAsiaTheme="minorHAnsi"/>
          <w:color w:val="000000"/>
          <w:kern w:val="16"/>
          <w:sz w:val="20"/>
          <w:lang w:eastAsia="en-US"/>
        </w:rPr>
        <w:t xml:space="preserve"> yer alan hususlar geçerlidir.   </w:t>
      </w:r>
    </w:p>
    <w:p w:rsidR="006854DE" w:rsidRPr="008F5C19" w:rsidRDefault="006854DE" w:rsidP="008F5C19">
      <w:pPr>
        <w:widowControl w:val="0"/>
        <w:spacing w:after="0"/>
        <w:ind w:left="170" w:right="170"/>
        <w:jc w:val="both"/>
        <w:rPr>
          <w:rFonts w:eastAsiaTheme="minorHAnsi"/>
          <w:color w:val="000000"/>
          <w:kern w:val="16"/>
          <w:sz w:val="20"/>
          <w:lang w:eastAsia="en-US"/>
        </w:rPr>
      </w:pPr>
      <w:r w:rsidRPr="008F5C19">
        <w:rPr>
          <w:rFonts w:eastAsiaTheme="minorHAnsi"/>
          <w:color w:val="000000"/>
          <w:kern w:val="16"/>
          <w:sz w:val="20"/>
          <w:lang w:eastAsia="en-US"/>
        </w:rPr>
        <w:t xml:space="preserve">6. 5684 sayılı Sigortacılık Kanunu gereği, sigorta şirketleri hayat ve hayat dışı sigorta gruplarından sadece birinde faaliyet gösterecek olmakla birlikte, Hastalık/Sağlık ve Kaza branşları her iki grup altında yer aldığından, söz konusu branş ve branş alt ayrımlarına göre gerek hayat gerekse hayat dışı sigorta şirketleri teminat verebilir. </w:t>
      </w:r>
    </w:p>
    <w:p w:rsidR="006854DE" w:rsidRPr="008F5C19" w:rsidRDefault="006854DE" w:rsidP="00CD5880">
      <w:pPr>
        <w:widowControl w:val="0"/>
        <w:spacing w:after="0"/>
        <w:ind w:left="170" w:right="170"/>
        <w:jc w:val="both"/>
        <w:rPr>
          <w:rFonts w:eastAsiaTheme="minorHAnsi"/>
          <w:color w:val="000000"/>
          <w:kern w:val="16"/>
          <w:sz w:val="20"/>
          <w:lang w:eastAsia="en-US"/>
        </w:rPr>
      </w:pPr>
      <w:r w:rsidRPr="008F5C19">
        <w:rPr>
          <w:rFonts w:eastAsiaTheme="minorHAnsi"/>
          <w:color w:val="000000"/>
          <w:kern w:val="16"/>
          <w:sz w:val="20"/>
          <w:lang w:eastAsia="en-US"/>
        </w:rPr>
        <w:t xml:space="preserve">7. Daha önce hayat dışı sigorta şirketleri tarafından yapılan Karayolu Yolcu Taşımacılığı Zorunlu Koltuk Ferdi Kaza Sigortası, Kaza Branşında (II/6) ruhsatı olan hayat sigorta şirketleri tarafından da yapılabilir. </w:t>
      </w:r>
    </w:p>
    <w:p w:rsidR="006854DE" w:rsidRPr="008F5C19" w:rsidRDefault="006854DE" w:rsidP="008F5C19">
      <w:pPr>
        <w:widowControl w:val="0"/>
        <w:spacing w:after="0"/>
        <w:ind w:left="170" w:right="170"/>
        <w:jc w:val="both"/>
        <w:rPr>
          <w:rFonts w:eastAsiaTheme="minorHAnsi"/>
          <w:color w:val="000000"/>
          <w:kern w:val="16"/>
          <w:sz w:val="20"/>
          <w:lang w:eastAsia="en-US"/>
        </w:rPr>
      </w:pPr>
      <w:r w:rsidRPr="008F5C19">
        <w:rPr>
          <w:rFonts w:eastAsiaTheme="minorHAnsi"/>
          <w:color w:val="000000"/>
          <w:kern w:val="16"/>
          <w:sz w:val="20"/>
          <w:lang w:eastAsia="en-US"/>
        </w:rPr>
        <w:t xml:space="preserve">8. Yangın ve Doğal Afetler Branşında alınan ruhsat ile kara araçları, hava araçları, raylı araçlar, su araçları ve nakliyat konusu mal ve bagaj için yangın, patlama, deprem, sel, deprem ve sel dışındaki doğal afetler, nükleer enerji ve toprak kayması risklerine karşı teminat verilemez. Söz konusu araçlar ile nakliyat konusu mal ve bagaj için anılan teminatların verilebilmesi ilgili branşlarından alınacak ruhsatla mümkündür. Örneğin, kara aracının deprem nedeniyle uğradığı zararın telafisi Yangın ve Doğal Afetler Branşından alınan ruhsat ile değil, Kara Araçları </w:t>
      </w:r>
      <w:proofErr w:type="spellStart"/>
      <w:r w:rsidRPr="008F5C19">
        <w:rPr>
          <w:rFonts w:eastAsiaTheme="minorHAnsi"/>
          <w:color w:val="000000"/>
          <w:kern w:val="16"/>
          <w:sz w:val="20"/>
          <w:lang w:eastAsia="en-US"/>
        </w:rPr>
        <w:t>Branşı’ndan</w:t>
      </w:r>
      <w:proofErr w:type="spellEnd"/>
      <w:r w:rsidRPr="008F5C19">
        <w:rPr>
          <w:rFonts w:eastAsiaTheme="minorHAnsi"/>
          <w:color w:val="000000"/>
          <w:kern w:val="16"/>
          <w:sz w:val="20"/>
          <w:lang w:eastAsia="en-US"/>
        </w:rPr>
        <w:t xml:space="preserve"> alınan ruhsatla yapılabilir. </w:t>
      </w:r>
    </w:p>
    <w:p w:rsidR="006854DE" w:rsidRPr="008F5C19" w:rsidRDefault="006854DE" w:rsidP="008F5C19">
      <w:pPr>
        <w:widowControl w:val="0"/>
        <w:spacing w:after="0"/>
        <w:ind w:left="170" w:right="170"/>
        <w:jc w:val="both"/>
        <w:rPr>
          <w:rFonts w:eastAsiaTheme="minorHAnsi"/>
          <w:color w:val="000000"/>
          <w:kern w:val="16"/>
          <w:sz w:val="20"/>
          <w:lang w:eastAsia="en-US"/>
        </w:rPr>
      </w:pPr>
      <w:r w:rsidRPr="008F5C19">
        <w:rPr>
          <w:rFonts w:eastAsiaTheme="minorHAnsi"/>
          <w:color w:val="000000"/>
          <w:kern w:val="16"/>
          <w:sz w:val="20"/>
          <w:lang w:eastAsia="en-US"/>
        </w:rPr>
        <w:t xml:space="preserve">9. Don ve dondan kaynaklanan zararlar nedeniyle tazminat ödemeleri kara araçları, hava araçları, raylı araçlar, su araçları ve nakliyat konusu mal ve bagaj için geçerli değildir. Dolayısıyla, kara </w:t>
      </w:r>
      <w:r w:rsidRPr="008F5C19">
        <w:rPr>
          <w:rFonts w:eastAsiaTheme="minorHAnsi"/>
          <w:color w:val="000000"/>
          <w:kern w:val="16"/>
          <w:sz w:val="20"/>
          <w:lang w:eastAsia="en-US"/>
        </w:rPr>
        <w:lastRenderedPageBreak/>
        <w:t xml:space="preserve">araçlarının don nedeniyle uğradığı zararın telafisi Kara Araçları </w:t>
      </w:r>
      <w:proofErr w:type="spellStart"/>
      <w:r w:rsidRPr="008F5C19">
        <w:rPr>
          <w:rFonts w:eastAsiaTheme="minorHAnsi"/>
          <w:color w:val="000000"/>
          <w:kern w:val="16"/>
          <w:sz w:val="20"/>
          <w:lang w:eastAsia="en-US"/>
        </w:rPr>
        <w:t>Branşı’ndan</w:t>
      </w:r>
      <w:proofErr w:type="spellEnd"/>
      <w:r w:rsidRPr="008F5C19">
        <w:rPr>
          <w:rFonts w:eastAsiaTheme="minorHAnsi"/>
          <w:color w:val="000000"/>
          <w:kern w:val="16"/>
          <w:sz w:val="20"/>
          <w:lang w:eastAsia="en-US"/>
        </w:rPr>
        <w:t xml:space="preserve"> alınan ruhsatla mümkündür.</w:t>
      </w:r>
    </w:p>
    <w:p w:rsidR="006854DE" w:rsidRPr="006854DE" w:rsidRDefault="006854DE" w:rsidP="00CD5880">
      <w:pPr>
        <w:spacing w:after="0"/>
        <w:ind w:left="165"/>
        <w:rPr>
          <w:strike/>
          <w:color w:val="767171" w:themeColor="background2" w:themeShade="80"/>
          <w:sz w:val="20"/>
        </w:rPr>
      </w:pPr>
      <w:r w:rsidRPr="00CD5880">
        <w:rPr>
          <w:rFonts w:eastAsiaTheme="minorHAnsi"/>
          <w:color w:val="000000"/>
          <w:kern w:val="16"/>
          <w:sz w:val="20"/>
          <w:lang w:eastAsia="en-US"/>
        </w:rPr>
        <w:t>10. (</w:t>
      </w:r>
      <w:r>
        <w:rPr>
          <w:b/>
          <w:sz w:val="20"/>
        </w:rPr>
        <w:t>Değişik: 19.08.2016 t. 2016/30 s. G. m.1)</w:t>
      </w:r>
      <w:r>
        <w:rPr>
          <w:rStyle w:val="DipnotBavurusu"/>
          <w:b/>
          <w:sz w:val="20"/>
        </w:rPr>
        <w:footnoteReference w:id="1"/>
      </w:r>
      <w:r w:rsidRPr="00C8618B">
        <w:rPr>
          <w:sz w:val="20"/>
        </w:rPr>
        <w:t xml:space="preserve"> Bireysel Emeklilik Tasarruf ve Yatırım Sistemi Kanunu’nun 8 inci maddesi uyarınca emeklilik şirketleri,</w:t>
      </w:r>
      <w:r>
        <w:rPr>
          <w:sz w:val="20"/>
        </w:rPr>
        <w:t xml:space="preserve"> </w:t>
      </w:r>
      <w:r>
        <w:rPr>
          <w:strike/>
          <w:color w:val="767171" w:themeColor="background2" w:themeShade="80"/>
          <w:sz w:val="20"/>
        </w:rPr>
        <w:t>Kaza Branşı yanında Hayat, Evlilik/Doğum, Yatırım Fonlu Sigorta ve Sermaye İtfa Sigortası Branşlarında</w:t>
      </w:r>
      <w:r w:rsidRPr="00C8618B">
        <w:rPr>
          <w:sz w:val="20"/>
        </w:rPr>
        <w:t xml:space="preserve"> </w:t>
      </w:r>
      <w:r w:rsidRPr="006854DE">
        <w:rPr>
          <w:color w:val="FF0000"/>
          <w:sz w:val="20"/>
        </w:rPr>
        <w:t xml:space="preserve">hayat grubu sigorta branşlarında </w:t>
      </w:r>
      <w:r w:rsidRPr="00C8618B">
        <w:rPr>
          <w:sz w:val="20"/>
        </w:rPr>
        <w:t xml:space="preserve">ruhsat alabilir. </w:t>
      </w:r>
      <w:r>
        <w:rPr>
          <w:strike/>
          <w:color w:val="767171" w:themeColor="background2" w:themeShade="80"/>
          <w:sz w:val="20"/>
        </w:rPr>
        <w:t>Söz konusu madde anılan Kanun’un Geçici 1 inci Maddesinin ikinci fıkrası uyarınca, bireysel emeklilik şirketlerinin Hastalık/Sağlık branşında faaliyet göstermesi mümkün olmadığı gibi bu branşlar altında verilen teminatları ek teminat olarak sunması mümkün değildir.</w:t>
      </w:r>
    </w:p>
    <w:p w:rsidR="006854DE" w:rsidRPr="006854DE" w:rsidRDefault="006854DE" w:rsidP="00CD5880">
      <w:pPr>
        <w:spacing w:after="0"/>
        <w:ind w:left="165"/>
        <w:rPr>
          <w:color w:val="FF0000"/>
          <w:sz w:val="20"/>
        </w:rPr>
      </w:pPr>
      <w:r w:rsidRPr="006854DE">
        <w:rPr>
          <w:color w:val="FF0000"/>
          <w:sz w:val="20"/>
        </w:rPr>
        <w:t>Emeklilik şirketleri, hayat branşında ruhsatları bulunması kaydıyla, tehlikeli hastalıklar ve sürekli sakatlık teminatlarını başka bir şart aranmaksızın hayat sigortasına ek teminat şeklinde verebilir.</w:t>
      </w:r>
    </w:p>
    <w:p w:rsidR="006854DE" w:rsidRPr="00C8618B" w:rsidRDefault="006854DE" w:rsidP="00CD5880">
      <w:pPr>
        <w:spacing w:after="0"/>
        <w:ind w:left="165"/>
        <w:rPr>
          <w:sz w:val="20"/>
        </w:rPr>
      </w:pPr>
      <w:r w:rsidRPr="00C8618B">
        <w:rPr>
          <w:sz w:val="20"/>
        </w:rPr>
        <w:t xml:space="preserve">11. Sigortacılık Kanunu’nun yürürlüğe girmesinden önce meri mevzuatta yer alan ve Mülga Sigorta Murakabe Kanunu’na  göre düzenlenmiş branş ayrımlarına yapılan atıflar, genel hukuk kuralları çerçevesinde bunların yeni branş ve branş alt ayrımlarına yapılmış sayılır. </w:t>
      </w:r>
    </w:p>
    <w:p w:rsidR="006854DE" w:rsidRPr="00A27FC1" w:rsidRDefault="006854DE" w:rsidP="006854DE">
      <w:pPr>
        <w:widowControl w:val="0"/>
        <w:ind w:left="170" w:right="170"/>
        <w:rPr>
          <w:b/>
          <w:sz w:val="20"/>
        </w:rPr>
      </w:pPr>
    </w:p>
    <w:tbl>
      <w:tblPr>
        <w:tblStyle w:val="TabloKlavuzu"/>
        <w:tblW w:w="0" w:type="auto"/>
        <w:tblInd w:w="0" w:type="dxa"/>
        <w:tblLook w:val="04A0" w:firstRow="1" w:lastRow="0" w:firstColumn="1" w:lastColumn="0" w:noHBand="0" w:noVBand="1"/>
      </w:tblPr>
      <w:tblGrid>
        <w:gridCol w:w="3016"/>
        <w:gridCol w:w="3019"/>
        <w:gridCol w:w="3021"/>
      </w:tblGrid>
      <w:tr w:rsidR="006854DE" w:rsidTr="00467BD5">
        <w:trPr>
          <w:trHeight w:val="289"/>
        </w:trPr>
        <w:tc>
          <w:tcPr>
            <w:tcW w:w="9130" w:type="dxa"/>
            <w:gridSpan w:val="3"/>
          </w:tcPr>
          <w:p w:rsidR="006854DE" w:rsidRPr="006854DE" w:rsidRDefault="006854DE" w:rsidP="00467BD5">
            <w:pPr>
              <w:jc w:val="center"/>
              <w:rPr>
                <w:b/>
                <w:sz w:val="20"/>
              </w:rPr>
            </w:pPr>
            <w:r w:rsidRPr="006854DE">
              <w:rPr>
                <w:b/>
                <w:sz w:val="20"/>
              </w:rPr>
              <w:t>Genelge’nin</w:t>
            </w:r>
          </w:p>
        </w:tc>
      </w:tr>
      <w:tr w:rsidR="006854DE" w:rsidTr="00467BD5">
        <w:trPr>
          <w:trHeight w:val="289"/>
        </w:trPr>
        <w:tc>
          <w:tcPr>
            <w:tcW w:w="3042" w:type="dxa"/>
          </w:tcPr>
          <w:p w:rsidR="006854DE" w:rsidRPr="006854DE" w:rsidRDefault="006854DE" w:rsidP="00467BD5">
            <w:pPr>
              <w:spacing w:after="0" w:line="240" w:lineRule="auto"/>
              <w:jc w:val="center"/>
              <w:rPr>
                <w:b/>
                <w:sz w:val="20"/>
              </w:rPr>
            </w:pPr>
            <w:r w:rsidRPr="006854DE">
              <w:rPr>
                <w:b/>
                <w:sz w:val="20"/>
              </w:rPr>
              <w:t>Numarası</w:t>
            </w:r>
          </w:p>
        </w:tc>
        <w:tc>
          <w:tcPr>
            <w:tcW w:w="3043" w:type="dxa"/>
          </w:tcPr>
          <w:p w:rsidR="006854DE" w:rsidRPr="006854DE" w:rsidRDefault="006854DE" w:rsidP="00467BD5">
            <w:pPr>
              <w:spacing w:after="0" w:line="240" w:lineRule="auto"/>
              <w:jc w:val="center"/>
              <w:rPr>
                <w:b/>
                <w:sz w:val="20"/>
              </w:rPr>
            </w:pPr>
            <w:r w:rsidRPr="006854DE">
              <w:rPr>
                <w:b/>
                <w:sz w:val="20"/>
              </w:rPr>
              <w:t>Kabul Tarihi</w:t>
            </w:r>
          </w:p>
        </w:tc>
        <w:tc>
          <w:tcPr>
            <w:tcW w:w="3043" w:type="dxa"/>
          </w:tcPr>
          <w:p w:rsidR="006854DE" w:rsidRPr="006854DE" w:rsidRDefault="006854DE" w:rsidP="00467BD5">
            <w:pPr>
              <w:jc w:val="center"/>
              <w:rPr>
                <w:b/>
                <w:sz w:val="20"/>
              </w:rPr>
            </w:pPr>
            <w:r w:rsidRPr="006854DE">
              <w:rPr>
                <w:b/>
                <w:sz w:val="20"/>
              </w:rPr>
              <w:t>Yürürlüğe Giriş Tarihi</w:t>
            </w:r>
          </w:p>
        </w:tc>
      </w:tr>
      <w:tr w:rsidR="006854DE" w:rsidTr="00467BD5">
        <w:trPr>
          <w:trHeight w:val="289"/>
        </w:trPr>
        <w:tc>
          <w:tcPr>
            <w:tcW w:w="3042" w:type="dxa"/>
          </w:tcPr>
          <w:p w:rsidR="006854DE" w:rsidRPr="006854DE" w:rsidRDefault="006854DE" w:rsidP="00467BD5">
            <w:pPr>
              <w:spacing w:after="0" w:line="240" w:lineRule="auto"/>
              <w:jc w:val="center"/>
              <w:rPr>
                <w:sz w:val="20"/>
              </w:rPr>
            </w:pPr>
            <w:r w:rsidRPr="006854DE">
              <w:rPr>
                <w:sz w:val="20"/>
              </w:rPr>
              <w:t>2007/11</w:t>
            </w:r>
          </w:p>
        </w:tc>
        <w:tc>
          <w:tcPr>
            <w:tcW w:w="3043" w:type="dxa"/>
          </w:tcPr>
          <w:p w:rsidR="006854DE" w:rsidRPr="006854DE" w:rsidRDefault="006854DE" w:rsidP="00467BD5">
            <w:pPr>
              <w:spacing w:after="0" w:line="240" w:lineRule="auto"/>
              <w:jc w:val="center"/>
              <w:rPr>
                <w:sz w:val="20"/>
              </w:rPr>
            </w:pPr>
            <w:r w:rsidRPr="006854DE">
              <w:rPr>
                <w:sz w:val="20"/>
              </w:rPr>
              <w:t>26.09.2007</w:t>
            </w:r>
          </w:p>
        </w:tc>
        <w:tc>
          <w:tcPr>
            <w:tcW w:w="3043" w:type="dxa"/>
          </w:tcPr>
          <w:p w:rsidR="006854DE" w:rsidRPr="006854DE" w:rsidRDefault="006854DE" w:rsidP="00467BD5">
            <w:pPr>
              <w:jc w:val="center"/>
              <w:rPr>
                <w:sz w:val="20"/>
              </w:rPr>
            </w:pPr>
            <w:r w:rsidRPr="006854DE">
              <w:rPr>
                <w:sz w:val="20"/>
              </w:rPr>
              <w:t>26.09.2007</w:t>
            </w:r>
          </w:p>
        </w:tc>
      </w:tr>
      <w:tr w:rsidR="006854DE" w:rsidTr="00467BD5">
        <w:trPr>
          <w:trHeight w:val="357"/>
        </w:trPr>
        <w:tc>
          <w:tcPr>
            <w:tcW w:w="9130" w:type="dxa"/>
            <w:gridSpan w:val="3"/>
          </w:tcPr>
          <w:p w:rsidR="006854DE" w:rsidRPr="006854DE" w:rsidRDefault="006854DE" w:rsidP="00467BD5">
            <w:pPr>
              <w:jc w:val="center"/>
              <w:rPr>
                <w:b/>
                <w:sz w:val="20"/>
              </w:rPr>
            </w:pPr>
            <w:proofErr w:type="spellStart"/>
            <w:r w:rsidRPr="006854DE">
              <w:rPr>
                <w:b/>
                <w:sz w:val="20"/>
              </w:rPr>
              <w:t>Genelge’de</w:t>
            </w:r>
            <w:proofErr w:type="spellEnd"/>
            <w:r w:rsidRPr="006854DE">
              <w:rPr>
                <w:b/>
                <w:sz w:val="20"/>
              </w:rPr>
              <w:t xml:space="preserve"> Değişiklik Yapan Genelge’nin</w:t>
            </w:r>
          </w:p>
        </w:tc>
      </w:tr>
      <w:tr w:rsidR="006854DE" w:rsidTr="00467BD5">
        <w:trPr>
          <w:trHeight w:val="289"/>
        </w:trPr>
        <w:tc>
          <w:tcPr>
            <w:tcW w:w="3042" w:type="dxa"/>
          </w:tcPr>
          <w:p w:rsidR="006854DE" w:rsidRPr="006854DE" w:rsidRDefault="006854DE" w:rsidP="00467BD5">
            <w:pPr>
              <w:spacing w:after="0" w:line="240" w:lineRule="auto"/>
              <w:jc w:val="center"/>
              <w:rPr>
                <w:b/>
                <w:sz w:val="20"/>
              </w:rPr>
            </w:pPr>
            <w:r w:rsidRPr="006854DE">
              <w:rPr>
                <w:b/>
                <w:sz w:val="20"/>
              </w:rPr>
              <w:t>Numarası</w:t>
            </w:r>
          </w:p>
        </w:tc>
        <w:tc>
          <w:tcPr>
            <w:tcW w:w="3043" w:type="dxa"/>
          </w:tcPr>
          <w:p w:rsidR="006854DE" w:rsidRPr="006854DE" w:rsidRDefault="006854DE" w:rsidP="00467BD5">
            <w:pPr>
              <w:spacing w:after="0" w:line="240" w:lineRule="auto"/>
              <w:jc w:val="center"/>
              <w:rPr>
                <w:b/>
                <w:sz w:val="20"/>
              </w:rPr>
            </w:pPr>
            <w:r w:rsidRPr="006854DE">
              <w:rPr>
                <w:b/>
                <w:sz w:val="20"/>
              </w:rPr>
              <w:t>Tarihi</w:t>
            </w:r>
          </w:p>
        </w:tc>
        <w:tc>
          <w:tcPr>
            <w:tcW w:w="3043" w:type="dxa"/>
          </w:tcPr>
          <w:p w:rsidR="006854DE" w:rsidRPr="006854DE" w:rsidRDefault="006854DE" w:rsidP="00467BD5">
            <w:pPr>
              <w:jc w:val="center"/>
              <w:rPr>
                <w:b/>
                <w:sz w:val="20"/>
              </w:rPr>
            </w:pPr>
            <w:r w:rsidRPr="006854DE">
              <w:rPr>
                <w:b/>
                <w:sz w:val="20"/>
              </w:rPr>
              <w:t>Yürürlüğe Giriş Tarihi</w:t>
            </w:r>
          </w:p>
        </w:tc>
      </w:tr>
      <w:tr w:rsidR="006854DE" w:rsidTr="00467BD5">
        <w:trPr>
          <w:trHeight w:val="289"/>
        </w:trPr>
        <w:tc>
          <w:tcPr>
            <w:tcW w:w="3042" w:type="dxa"/>
          </w:tcPr>
          <w:p w:rsidR="006854DE" w:rsidRPr="006854DE" w:rsidRDefault="006854DE" w:rsidP="00467BD5">
            <w:pPr>
              <w:spacing w:after="0" w:line="240" w:lineRule="auto"/>
              <w:jc w:val="center"/>
              <w:rPr>
                <w:sz w:val="20"/>
              </w:rPr>
            </w:pPr>
            <w:r w:rsidRPr="006854DE">
              <w:rPr>
                <w:sz w:val="20"/>
              </w:rPr>
              <w:t>2016/30</w:t>
            </w:r>
          </w:p>
        </w:tc>
        <w:tc>
          <w:tcPr>
            <w:tcW w:w="3043" w:type="dxa"/>
          </w:tcPr>
          <w:p w:rsidR="006854DE" w:rsidRPr="006854DE" w:rsidRDefault="006854DE" w:rsidP="00467BD5">
            <w:pPr>
              <w:spacing w:after="0" w:line="240" w:lineRule="auto"/>
              <w:jc w:val="center"/>
              <w:rPr>
                <w:sz w:val="20"/>
              </w:rPr>
            </w:pPr>
            <w:r w:rsidRPr="006854DE">
              <w:rPr>
                <w:sz w:val="20"/>
              </w:rPr>
              <w:t>19.08.2016</w:t>
            </w:r>
          </w:p>
        </w:tc>
        <w:tc>
          <w:tcPr>
            <w:tcW w:w="3043" w:type="dxa"/>
          </w:tcPr>
          <w:p w:rsidR="006854DE" w:rsidRPr="006854DE" w:rsidRDefault="006854DE" w:rsidP="00467BD5">
            <w:pPr>
              <w:jc w:val="center"/>
              <w:rPr>
                <w:sz w:val="20"/>
              </w:rPr>
            </w:pPr>
            <w:r w:rsidRPr="006854DE">
              <w:rPr>
                <w:sz w:val="20"/>
              </w:rPr>
              <w:t>19.08.2016</w:t>
            </w:r>
          </w:p>
        </w:tc>
      </w:tr>
    </w:tbl>
    <w:p w:rsidR="006854DE" w:rsidRPr="00A27FC1" w:rsidRDefault="006854DE" w:rsidP="006854DE">
      <w:pPr>
        <w:widowControl w:val="0"/>
        <w:ind w:right="170"/>
        <w:rPr>
          <w:b/>
          <w:sz w:val="20"/>
        </w:rPr>
      </w:pPr>
    </w:p>
    <w:p w:rsidR="006854DE" w:rsidRPr="00A27FC1" w:rsidRDefault="006854DE" w:rsidP="006854DE">
      <w:pPr>
        <w:widowControl w:val="0"/>
        <w:ind w:left="170" w:right="170"/>
        <w:rPr>
          <w:b/>
          <w:sz w:val="20"/>
        </w:rPr>
      </w:pPr>
    </w:p>
    <w:p w:rsidR="00343027" w:rsidRDefault="00343027">
      <w:bookmarkStart w:id="0" w:name="_GoBack"/>
      <w:bookmarkEnd w:id="0"/>
    </w:p>
    <w:sectPr w:rsidR="003430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4DE" w:rsidRDefault="006854DE" w:rsidP="006854DE">
      <w:pPr>
        <w:spacing w:after="0" w:line="240" w:lineRule="auto"/>
      </w:pPr>
      <w:r>
        <w:separator/>
      </w:r>
    </w:p>
  </w:endnote>
  <w:endnote w:type="continuationSeparator" w:id="0">
    <w:p w:rsidR="006854DE" w:rsidRDefault="006854DE" w:rsidP="0068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DE" w:rsidRPr="007076AE" w:rsidRDefault="007076AE" w:rsidP="007076AE">
    <w:pPr>
      <w:pStyle w:val="AltBilgi"/>
    </w:pPr>
    <w:r>
      <w:rPr>
        <w:rFonts w:eastAsia="Calibri"/>
        <w:sz w:val="20"/>
      </w:rPr>
      <w:fldChar w:fldCharType="begin" w:fldLock="1"/>
    </w:r>
    <w:r>
      <w:rPr>
        <w:rFonts w:eastAsia="Calibri"/>
        <w:sz w:val="20"/>
      </w:rPr>
      <w:instrText xml:space="preserve"> DOCPROPERTY bjFooterEvenPageDocProperty \* MERGEFORMAT </w:instrText>
    </w:r>
    <w:r>
      <w:rPr>
        <w:rFonts w:eastAsia="Calibri"/>
        <w:sz w:val="20"/>
      </w:rPr>
      <w:fldChar w:fldCharType="separate"/>
    </w:r>
    <w:proofErr w:type="spellStart"/>
    <w:r w:rsidRPr="004C7960">
      <w:rPr>
        <w:rFonts w:ascii="Malgun Gothic" w:eastAsia="Malgun Gothic" w:hAnsi="Malgun Gothic"/>
        <w:b/>
        <w:color w:val="999999"/>
        <w:sz w:val="20"/>
      </w:rPr>
      <w:t>Sınıflandırma|</w:t>
    </w:r>
    <w:r w:rsidRPr="004C7960">
      <w:rPr>
        <w:rFonts w:ascii="Malgun Gothic" w:eastAsia="Malgun Gothic" w:hAnsi="Malgun Gothic"/>
        <w:b/>
        <w:color w:val="339966"/>
        <w:sz w:val="20"/>
      </w:rPr>
      <w:t>Genel</w:t>
    </w:r>
    <w:proofErr w:type="spellEnd"/>
    <w:r>
      <w:rPr>
        <w:rFonts w:eastAsia="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DE" w:rsidRPr="007076AE" w:rsidRDefault="007076AE" w:rsidP="007076AE">
    <w:pPr>
      <w:pStyle w:val="AltBilgi"/>
    </w:pPr>
    <w:r>
      <w:rPr>
        <w:rFonts w:eastAsia="Calibri"/>
        <w:sz w:val="20"/>
      </w:rPr>
      <w:fldChar w:fldCharType="begin" w:fldLock="1"/>
    </w:r>
    <w:r>
      <w:rPr>
        <w:rFonts w:eastAsia="Calibri"/>
        <w:sz w:val="20"/>
      </w:rPr>
      <w:instrText xml:space="preserve"> DOCPROPERTY bjFooterBothDocProperty \* MERGEFORMAT </w:instrText>
    </w:r>
    <w:r>
      <w:rPr>
        <w:rFonts w:eastAsia="Calibri"/>
        <w:sz w:val="20"/>
      </w:rPr>
      <w:fldChar w:fldCharType="separate"/>
    </w:r>
    <w:proofErr w:type="spellStart"/>
    <w:r w:rsidRPr="004C7960">
      <w:rPr>
        <w:rFonts w:ascii="Malgun Gothic" w:eastAsia="Malgun Gothic" w:hAnsi="Malgun Gothic"/>
        <w:b/>
        <w:color w:val="999999"/>
        <w:sz w:val="20"/>
      </w:rPr>
      <w:t>Sınıflandırma|</w:t>
    </w:r>
    <w:r w:rsidRPr="004C7960">
      <w:rPr>
        <w:rFonts w:ascii="Malgun Gothic" w:eastAsia="Malgun Gothic" w:hAnsi="Malgun Gothic"/>
        <w:b/>
        <w:color w:val="339966"/>
        <w:sz w:val="20"/>
      </w:rPr>
      <w:t>Genel</w:t>
    </w:r>
    <w:proofErr w:type="spellEnd"/>
    <w:r>
      <w:rPr>
        <w:rFonts w:eastAsia="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DE" w:rsidRPr="007076AE" w:rsidRDefault="007076AE" w:rsidP="007076AE">
    <w:pPr>
      <w:pStyle w:val="AltBilgi"/>
    </w:pPr>
    <w:r>
      <w:rPr>
        <w:rFonts w:eastAsia="Calibri"/>
        <w:sz w:val="20"/>
      </w:rPr>
      <w:fldChar w:fldCharType="begin" w:fldLock="1"/>
    </w:r>
    <w:r>
      <w:rPr>
        <w:rFonts w:eastAsia="Calibri"/>
        <w:sz w:val="20"/>
      </w:rPr>
      <w:instrText xml:space="preserve"> DOCPROPERTY bjFooterFirstPageDocProperty \* MERGEFORMAT </w:instrText>
    </w:r>
    <w:r>
      <w:rPr>
        <w:rFonts w:eastAsia="Calibri"/>
        <w:sz w:val="20"/>
      </w:rPr>
      <w:fldChar w:fldCharType="separate"/>
    </w:r>
    <w:proofErr w:type="spellStart"/>
    <w:r w:rsidRPr="004C7960">
      <w:rPr>
        <w:rFonts w:ascii="Malgun Gothic" w:eastAsia="Malgun Gothic" w:hAnsi="Malgun Gothic"/>
        <w:b/>
        <w:color w:val="999999"/>
        <w:sz w:val="20"/>
      </w:rPr>
      <w:t>Sınıflandırma|</w:t>
    </w:r>
    <w:r w:rsidRPr="004C7960">
      <w:rPr>
        <w:rFonts w:ascii="Malgun Gothic" w:eastAsia="Malgun Gothic" w:hAnsi="Malgun Gothic"/>
        <w:b/>
        <w:color w:val="339966"/>
        <w:sz w:val="20"/>
      </w:rPr>
      <w:t>Genel</w:t>
    </w:r>
    <w:proofErr w:type="spellEnd"/>
    <w:r>
      <w:rPr>
        <w:rFonts w:eastAsia="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4DE" w:rsidRDefault="006854DE" w:rsidP="006854DE">
      <w:pPr>
        <w:spacing w:after="0" w:line="240" w:lineRule="auto"/>
      </w:pPr>
      <w:r>
        <w:separator/>
      </w:r>
    </w:p>
  </w:footnote>
  <w:footnote w:type="continuationSeparator" w:id="0">
    <w:p w:rsidR="006854DE" w:rsidRDefault="006854DE" w:rsidP="006854DE">
      <w:pPr>
        <w:spacing w:after="0" w:line="240" w:lineRule="auto"/>
      </w:pPr>
      <w:r>
        <w:continuationSeparator/>
      </w:r>
    </w:p>
  </w:footnote>
  <w:footnote w:id="1">
    <w:p w:rsidR="006854DE" w:rsidRPr="00833CE0" w:rsidRDefault="006854DE" w:rsidP="006854DE">
      <w:pPr>
        <w:pStyle w:val="DipnotMetni"/>
        <w:rPr>
          <w:sz w:val="16"/>
          <w:szCs w:val="16"/>
        </w:rPr>
      </w:pPr>
      <w:r w:rsidRPr="00833CE0">
        <w:rPr>
          <w:rStyle w:val="DipnotBavurusu"/>
          <w:sz w:val="16"/>
          <w:szCs w:val="16"/>
        </w:rPr>
        <w:footnoteRef/>
      </w:r>
      <w:r w:rsidRPr="00833CE0">
        <w:rPr>
          <w:sz w:val="16"/>
          <w:szCs w:val="16"/>
        </w:rPr>
        <w:t xml:space="preserve"> 2016/30 sayılı Genelge ile değişikliğe uğramıştır.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DE" w:rsidRDefault="006854D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DE" w:rsidRDefault="006854D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DE" w:rsidRDefault="006854D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2C"/>
    <w:rsid w:val="0007012C"/>
    <w:rsid w:val="00343027"/>
    <w:rsid w:val="006854DE"/>
    <w:rsid w:val="007076AE"/>
    <w:rsid w:val="00833CE0"/>
    <w:rsid w:val="008F5C19"/>
    <w:rsid w:val="00CD58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BE5F54"/>
  <w15:chartTrackingRefBased/>
  <w15:docId w15:val="{C3D391EE-FF51-4A39-80D1-E74FAD22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4DE"/>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6854DE"/>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854DE"/>
    <w:rPr>
      <w:rFonts w:ascii="Arial" w:eastAsia="Times New Roman" w:hAnsi="Arial" w:cs="Arial"/>
      <w:b/>
      <w:sz w:val="36"/>
      <w:szCs w:val="20"/>
      <w:lang w:eastAsia="tr-TR"/>
    </w:rPr>
  </w:style>
  <w:style w:type="table" w:styleId="TabloKlavuzu">
    <w:name w:val="Table Grid"/>
    <w:basedOn w:val="NormalTablo"/>
    <w:uiPriority w:val="39"/>
    <w:rsid w:val="006854DE"/>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DipnotMetni">
    <w:name w:val="footnote text"/>
    <w:basedOn w:val="Normal"/>
    <w:link w:val="DipnotMetniChar"/>
    <w:unhideWhenUsed/>
    <w:rsid w:val="006854DE"/>
    <w:pPr>
      <w:spacing w:after="0" w:line="240" w:lineRule="auto"/>
    </w:pPr>
    <w:rPr>
      <w:sz w:val="20"/>
    </w:rPr>
  </w:style>
  <w:style w:type="character" w:customStyle="1" w:styleId="DipnotMetniChar">
    <w:name w:val="Dipnot Metni Char"/>
    <w:basedOn w:val="VarsaylanParagrafYazTipi"/>
    <w:link w:val="DipnotMetni"/>
    <w:rsid w:val="006854DE"/>
    <w:rPr>
      <w:rFonts w:ascii="Arial" w:eastAsia="Times New Roman" w:hAnsi="Arial" w:cs="Arial"/>
      <w:sz w:val="20"/>
      <w:szCs w:val="20"/>
      <w:lang w:eastAsia="tr-TR"/>
    </w:rPr>
  </w:style>
  <w:style w:type="character" w:styleId="DipnotBavurusu">
    <w:name w:val="footnote reference"/>
    <w:basedOn w:val="VarsaylanParagrafYazTipi"/>
    <w:unhideWhenUsed/>
    <w:rsid w:val="006854DE"/>
    <w:rPr>
      <w:vertAlign w:val="superscript"/>
    </w:rPr>
  </w:style>
  <w:style w:type="paragraph" w:styleId="stBilgi">
    <w:name w:val="header"/>
    <w:basedOn w:val="Normal"/>
    <w:link w:val="stBilgiChar"/>
    <w:uiPriority w:val="99"/>
    <w:unhideWhenUsed/>
    <w:rsid w:val="006854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54DE"/>
    <w:rPr>
      <w:rFonts w:ascii="Arial" w:eastAsia="Times New Roman" w:hAnsi="Arial" w:cs="Arial"/>
      <w:szCs w:val="20"/>
      <w:lang w:eastAsia="tr-TR"/>
    </w:rPr>
  </w:style>
  <w:style w:type="paragraph" w:styleId="AltBilgi">
    <w:name w:val="footer"/>
    <w:basedOn w:val="Normal"/>
    <w:link w:val="AltBilgiChar"/>
    <w:uiPriority w:val="99"/>
    <w:unhideWhenUsed/>
    <w:rsid w:val="006854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54DE"/>
    <w:rPr>
      <w:rFonts w:ascii="Arial" w:eastAsia="Times New Roman" w:hAnsi="Arial" w:cs="Arial"/>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DEE1F9E0-E2C3-4972-92D0-35CDCF84537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817</Words>
  <Characters>4662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dcterms:created xsi:type="dcterms:W3CDTF">2022-12-15T07:38:00Z</dcterms:created>
  <dcterms:modified xsi:type="dcterms:W3CDTF">2023-01-06T13:06:00Z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42bb1c2b-85db-4479-9940-2d642eaba514</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