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609" w:rsidRDefault="006F6735" w:rsidP="006F6735">
      <w:pPr>
        <w:pStyle w:val="GvdeMetni"/>
        <w:jc w:val="center"/>
        <w:rPr>
          <w:rFonts w:ascii="Arial" w:hAnsi="Arial" w:cs="Arial"/>
          <w:b/>
          <w:sz w:val="24"/>
          <w:szCs w:val="24"/>
        </w:rPr>
      </w:pPr>
      <w:bookmarkStart w:id="0" w:name="_Hlk127440077"/>
      <w:r w:rsidRPr="006F6735">
        <w:rPr>
          <w:rFonts w:ascii="Arial" w:hAnsi="Arial" w:cs="Arial"/>
          <w:b/>
          <w:sz w:val="24"/>
          <w:szCs w:val="24"/>
        </w:rPr>
        <w:t>SERMAYE PİYASASI KURULU BÜLTENİ (2023/8)</w:t>
      </w:r>
    </w:p>
    <w:p w:rsidR="006F6735" w:rsidRPr="006F6735" w:rsidRDefault="006F6735" w:rsidP="006F6735">
      <w:pPr>
        <w:pStyle w:val="GvdeMetni"/>
        <w:jc w:val="center"/>
        <w:rPr>
          <w:rFonts w:ascii="Arial" w:hAnsi="Arial" w:cs="Arial"/>
          <w:b/>
          <w:sz w:val="24"/>
          <w:szCs w:val="24"/>
        </w:rPr>
      </w:pPr>
      <w:r>
        <w:rPr>
          <w:rFonts w:ascii="Arial" w:hAnsi="Arial" w:cs="Arial"/>
          <w:b/>
          <w:sz w:val="24"/>
          <w:szCs w:val="24"/>
        </w:rPr>
        <w:t>08.02.2023</w:t>
      </w:r>
      <w:bookmarkStart w:id="1" w:name="_GoBack"/>
      <w:bookmarkEnd w:id="1"/>
    </w:p>
    <w:p w:rsidR="00437609" w:rsidRPr="0061428A" w:rsidRDefault="00437609">
      <w:pPr>
        <w:pStyle w:val="GvdeMetni"/>
        <w:rPr>
          <w:rFonts w:ascii="Arial" w:hAnsi="Arial" w:cs="Arial"/>
          <w:sz w:val="20"/>
          <w:szCs w:val="20"/>
        </w:rPr>
      </w:pPr>
    </w:p>
    <w:p w:rsidR="00437609" w:rsidRPr="0061428A" w:rsidRDefault="00437609">
      <w:pPr>
        <w:pStyle w:val="GvdeMetni"/>
        <w:rPr>
          <w:rFonts w:ascii="Arial" w:hAnsi="Arial" w:cs="Arial"/>
          <w:sz w:val="20"/>
          <w:szCs w:val="20"/>
        </w:rPr>
      </w:pPr>
    </w:p>
    <w:p w:rsidR="00437609" w:rsidRPr="006F6735" w:rsidRDefault="00322506" w:rsidP="006F6735">
      <w:pPr>
        <w:pStyle w:val="Balk1"/>
        <w:numPr>
          <w:ilvl w:val="0"/>
          <w:numId w:val="3"/>
        </w:numPr>
        <w:tabs>
          <w:tab w:val="left" w:pos="965"/>
        </w:tabs>
        <w:spacing w:line="276" w:lineRule="auto"/>
        <w:ind w:hanging="287"/>
        <w:rPr>
          <w:sz w:val="20"/>
          <w:szCs w:val="20"/>
        </w:rPr>
      </w:pPr>
      <w:r w:rsidRPr="0061428A">
        <w:rPr>
          <w:color w:val="FF0000"/>
          <w:sz w:val="20"/>
          <w:szCs w:val="20"/>
          <w:u w:val="single" w:color="FF0000"/>
        </w:rPr>
        <w:t>DUYURU</w:t>
      </w:r>
      <w:r w:rsidRPr="0061428A">
        <w:rPr>
          <w:color w:val="FF0000"/>
          <w:spacing w:val="-4"/>
          <w:sz w:val="20"/>
          <w:szCs w:val="20"/>
          <w:u w:val="single" w:color="FF0000"/>
        </w:rPr>
        <w:t xml:space="preserve"> </w:t>
      </w:r>
      <w:r w:rsidRPr="0061428A">
        <w:rPr>
          <w:color w:val="FF0000"/>
          <w:sz w:val="20"/>
          <w:szCs w:val="20"/>
          <w:u w:val="single" w:color="FF0000"/>
        </w:rPr>
        <w:t>VE</w:t>
      </w:r>
      <w:r w:rsidRPr="0061428A">
        <w:rPr>
          <w:color w:val="FF0000"/>
          <w:spacing w:val="-2"/>
          <w:sz w:val="20"/>
          <w:szCs w:val="20"/>
          <w:u w:val="single" w:color="FF0000"/>
        </w:rPr>
        <w:t xml:space="preserve"> </w:t>
      </w:r>
      <w:r w:rsidRPr="0061428A">
        <w:rPr>
          <w:color w:val="FF0000"/>
          <w:sz w:val="20"/>
          <w:szCs w:val="20"/>
          <w:u w:val="single" w:color="FF0000"/>
        </w:rPr>
        <w:t>İLKE</w:t>
      </w:r>
      <w:r w:rsidRPr="0061428A">
        <w:rPr>
          <w:color w:val="FF0000"/>
          <w:spacing w:val="-3"/>
          <w:sz w:val="20"/>
          <w:szCs w:val="20"/>
          <w:u w:val="single" w:color="FF0000"/>
        </w:rPr>
        <w:t xml:space="preserve"> </w:t>
      </w:r>
      <w:r w:rsidRPr="0061428A">
        <w:rPr>
          <w:color w:val="FF0000"/>
          <w:sz w:val="20"/>
          <w:szCs w:val="20"/>
          <w:u w:val="single" w:color="FF0000"/>
        </w:rPr>
        <w:t>KARARLARI</w:t>
      </w:r>
    </w:p>
    <w:p w:rsidR="00437609" w:rsidRPr="006F6735" w:rsidRDefault="00322506" w:rsidP="006F6735">
      <w:pPr>
        <w:pStyle w:val="ListeParagraf"/>
        <w:numPr>
          <w:ilvl w:val="1"/>
          <w:numId w:val="3"/>
        </w:numPr>
        <w:tabs>
          <w:tab w:val="left" w:pos="1038"/>
          <w:tab w:val="left" w:pos="1039"/>
        </w:tabs>
        <w:spacing w:line="276" w:lineRule="auto"/>
        <w:rPr>
          <w:rFonts w:ascii="Arial" w:hAnsi="Arial" w:cs="Arial"/>
          <w:b/>
          <w:sz w:val="20"/>
          <w:szCs w:val="20"/>
        </w:rPr>
      </w:pPr>
      <w:r w:rsidRPr="006F6735">
        <w:rPr>
          <w:rFonts w:ascii="Arial" w:hAnsi="Arial" w:cs="Arial"/>
          <w:b/>
          <w:color w:val="1F487C"/>
          <w:sz w:val="20"/>
          <w:szCs w:val="20"/>
        </w:rPr>
        <w:t>Kurul</w:t>
      </w:r>
      <w:r w:rsidRPr="006F6735">
        <w:rPr>
          <w:rFonts w:ascii="Arial" w:hAnsi="Arial" w:cs="Arial"/>
          <w:b/>
          <w:color w:val="1F487C"/>
          <w:spacing w:val="-4"/>
          <w:sz w:val="20"/>
          <w:szCs w:val="20"/>
        </w:rPr>
        <w:t xml:space="preserve"> </w:t>
      </w:r>
      <w:r w:rsidRPr="006F6735">
        <w:rPr>
          <w:rFonts w:ascii="Arial" w:hAnsi="Arial" w:cs="Arial"/>
          <w:b/>
          <w:color w:val="1F487C"/>
          <w:sz w:val="20"/>
          <w:szCs w:val="20"/>
        </w:rPr>
        <w:t>Karar</w:t>
      </w:r>
      <w:r w:rsidRPr="006F6735">
        <w:rPr>
          <w:rFonts w:ascii="Arial" w:hAnsi="Arial" w:cs="Arial"/>
          <w:b/>
          <w:color w:val="1F487C"/>
          <w:spacing w:val="-4"/>
          <w:sz w:val="20"/>
          <w:szCs w:val="20"/>
        </w:rPr>
        <w:t xml:space="preserve"> </w:t>
      </w:r>
      <w:r w:rsidRPr="006F6735">
        <w:rPr>
          <w:rFonts w:ascii="Arial" w:hAnsi="Arial" w:cs="Arial"/>
          <w:b/>
          <w:color w:val="1F487C"/>
          <w:sz w:val="20"/>
          <w:szCs w:val="20"/>
        </w:rPr>
        <w:t>Organı’nın</w:t>
      </w:r>
      <w:r w:rsidRPr="006F6735">
        <w:rPr>
          <w:rFonts w:ascii="Arial" w:hAnsi="Arial" w:cs="Arial"/>
          <w:b/>
          <w:color w:val="1F487C"/>
          <w:spacing w:val="-4"/>
          <w:sz w:val="20"/>
          <w:szCs w:val="20"/>
        </w:rPr>
        <w:t xml:space="preserve"> </w:t>
      </w:r>
      <w:r w:rsidRPr="006F6735">
        <w:rPr>
          <w:rFonts w:ascii="Arial" w:hAnsi="Arial" w:cs="Arial"/>
          <w:b/>
          <w:color w:val="1F487C"/>
          <w:sz w:val="20"/>
          <w:szCs w:val="20"/>
        </w:rPr>
        <w:t>08/02/2023</w:t>
      </w:r>
      <w:r w:rsidRPr="006F6735">
        <w:rPr>
          <w:rFonts w:ascii="Arial" w:hAnsi="Arial" w:cs="Arial"/>
          <w:b/>
          <w:color w:val="1F487C"/>
          <w:spacing w:val="-3"/>
          <w:sz w:val="20"/>
          <w:szCs w:val="20"/>
        </w:rPr>
        <w:t xml:space="preserve"> </w:t>
      </w:r>
      <w:r w:rsidRPr="006F6735">
        <w:rPr>
          <w:rFonts w:ascii="Arial" w:hAnsi="Arial" w:cs="Arial"/>
          <w:b/>
          <w:color w:val="1F487C"/>
          <w:sz w:val="20"/>
          <w:szCs w:val="20"/>
        </w:rPr>
        <w:t>tarih</w:t>
      </w:r>
      <w:r w:rsidRPr="006F6735">
        <w:rPr>
          <w:rFonts w:ascii="Arial" w:hAnsi="Arial" w:cs="Arial"/>
          <w:b/>
          <w:color w:val="1F487C"/>
          <w:spacing w:val="-3"/>
          <w:sz w:val="20"/>
          <w:szCs w:val="20"/>
        </w:rPr>
        <w:t xml:space="preserve"> </w:t>
      </w:r>
      <w:r w:rsidRPr="006F6735">
        <w:rPr>
          <w:rFonts w:ascii="Arial" w:hAnsi="Arial" w:cs="Arial"/>
          <w:b/>
          <w:color w:val="1F487C"/>
          <w:sz w:val="20"/>
          <w:szCs w:val="20"/>
        </w:rPr>
        <w:t>ve</w:t>
      </w:r>
      <w:r w:rsidRPr="006F6735">
        <w:rPr>
          <w:rFonts w:ascii="Arial" w:hAnsi="Arial" w:cs="Arial"/>
          <w:b/>
          <w:color w:val="1F487C"/>
          <w:spacing w:val="-2"/>
          <w:sz w:val="20"/>
          <w:szCs w:val="20"/>
        </w:rPr>
        <w:t xml:space="preserve"> </w:t>
      </w:r>
      <w:r w:rsidRPr="006F6735">
        <w:rPr>
          <w:rFonts w:ascii="Arial" w:hAnsi="Arial" w:cs="Arial"/>
          <w:b/>
          <w:color w:val="1F487C"/>
          <w:sz w:val="20"/>
          <w:szCs w:val="20"/>
        </w:rPr>
        <w:t>7/158</w:t>
      </w:r>
      <w:r w:rsidRPr="006F6735">
        <w:rPr>
          <w:rFonts w:ascii="Arial" w:hAnsi="Arial" w:cs="Arial"/>
          <w:b/>
          <w:color w:val="1F487C"/>
          <w:spacing w:val="-4"/>
          <w:sz w:val="20"/>
          <w:szCs w:val="20"/>
        </w:rPr>
        <w:t xml:space="preserve"> </w:t>
      </w:r>
      <w:r w:rsidRPr="006F6735">
        <w:rPr>
          <w:rFonts w:ascii="Arial" w:hAnsi="Arial" w:cs="Arial"/>
          <w:b/>
          <w:color w:val="1F487C"/>
          <w:sz w:val="20"/>
          <w:szCs w:val="20"/>
        </w:rPr>
        <w:t>sayılı</w:t>
      </w:r>
      <w:r w:rsidRPr="006F6735">
        <w:rPr>
          <w:rFonts w:ascii="Arial" w:hAnsi="Arial" w:cs="Arial"/>
          <w:b/>
          <w:color w:val="1F487C"/>
          <w:spacing w:val="-3"/>
          <w:sz w:val="20"/>
          <w:szCs w:val="20"/>
        </w:rPr>
        <w:t xml:space="preserve"> </w:t>
      </w:r>
      <w:r w:rsidRPr="006F6735">
        <w:rPr>
          <w:rFonts w:ascii="Arial" w:hAnsi="Arial" w:cs="Arial"/>
          <w:b/>
          <w:color w:val="1F487C"/>
          <w:sz w:val="20"/>
          <w:szCs w:val="20"/>
        </w:rPr>
        <w:t>Kararı</w:t>
      </w:r>
      <w:r w:rsidRPr="006F6735">
        <w:rPr>
          <w:rFonts w:ascii="Arial" w:hAnsi="Arial" w:cs="Arial"/>
          <w:b/>
          <w:color w:val="1F487C"/>
          <w:spacing w:val="-2"/>
          <w:sz w:val="20"/>
          <w:szCs w:val="20"/>
        </w:rPr>
        <w:t xml:space="preserve"> </w:t>
      </w:r>
      <w:r w:rsidRPr="006F6735">
        <w:rPr>
          <w:rFonts w:ascii="Arial" w:hAnsi="Arial" w:cs="Arial"/>
          <w:b/>
          <w:color w:val="1F487C"/>
          <w:sz w:val="20"/>
          <w:szCs w:val="20"/>
        </w:rPr>
        <w:t>Uyarınca</w:t>
      </w:r>
      <w:r w:rsidRPr="006F6735">
        <w:rPr>
          <w:rFonts w:ascii="Arial" w:hAnsi="Arial" w:cs="Arial"/>
          <w:b/>
          <w:color w:val="1F487C"/>
          <w:spacing w:val="-3"/>
          <w:sz w:val="20"/>
          <w:szCs w:val="20"/>
        </w:rPr>
        <w:t xml:space="preserve"> </w:t>
      </w:r>
      <w:r w:rsidRPr="006F6735">
        <w:rPr>
          <w:rFonts w:ascii="Arial" w:hAnsi="Arial" w:cs="Arial"/>
          <w:b/>
          <w:color w:val="1F487C"/>
          <w:sz w:val="20"/>
          <w:szCs w:val="20"/>
        </w:rPr>
        <w:t>Yapılan</w:t>
      </w:r>
      <w:r w:rsidRPr="006F6735">
        <w:rPr>
          <w:rFonts w:ascii="Arial" w:hAnsi="Arial" w:cs="Arial"/>
          <w:b/>
          <w:color w:val="1F487C"/>
          <w:spacing w:val="-3"/>
          <w:sz w:val="20"/>
          <w:szCs w:val="20"/>
        </w:rPr>
        <w:t xml:space="preserve"> </w:t>
      </w:r>
      <w:r w:rsidRPr="006F6735">
        <w:rPr>
          <w:rFonts w:ascii="Arial" w:hAnsi="Arial" w:cs="Arial"/>
          <w:b/>
          <w:color w:val="1F487C"/>
          <w:sz w:val="20"/>
          <w:szCs w:val="20"/>
        </w:rPr>
        <w:t>Duyuru:</w:t>
      </w:r>
    </w:p>
    <w:p w:rsidR="00437609" w:rsidRPr="0061428A" w:rsidRDefault="00437609" w:rsidP="006F6735">
      <w:pPr>
        <w:pStyle w:val="GvdeMetni"/>
        <w:spacing w:before="1" w:line="276" w:lineRule="auto"/>
        <w:rPr>
          <w:rFonts w:ascii="Arial" w:hAnsi="Arial" w:cs="Arial"/>
          <w:b/>
          <w:sz w:val="20"/>
          <w:szCs w:val="20"/>
        </w:rPr>
      </w:pPr>
    </w:p>
    <w:p w:rsidR="00437609" w:rsidRPr="006F6735" w:rsidRDefault="00322506" w:rsidP="006F6735">
      <w:pPr>
        <w:pStyle w:val="GvdeMetni"/>
        <w:spacing w:line="276" w:lineRule="auto"/>
        <w:ind w:firstLine="170"/>
        <w:rPr>
          <w:rFonts w:ascii="Arial" w:eastAsiaTheme="minorHAnsi" w:hAnsi="Arial" w:cs="Arial"/>
          <w:color w:val="000000"/>
          <w:kern w:val="16"/>
          <w:sz w:val="20"/>
          <w:szCs w:val="20"/>
        </w:rPr>
      </w:pPr>
      <w:r w:rsidRPr="0061428A">
        <w:rPr>
          <w:rFonts w:ascii="Arial" w:hAnsi="Arial" w:cs="Arial"/>
          <w:b/>
          <w:color w:val="1F487C"/>
          <w:sz w:val="20"/>
          <w:szCs w:val="20"/>
        </w:rPr>
        <w:t>I)</w:t>
      </w:r>
      <w:r w:rsidRPr="0061428A">
        <w:rPr>
          <w:rFonts w:ascii="Arial" w:hAnsi="Arial" w:cs="Arial"/>
          <w:b/>
          <w:color w:val="1F487C"/>
          <w:spacing w:val="70"/>
          <w:sz w:val="20"/>
          <w:szCs w:val="20"/>
        </w:rPr>
        <w:t xml:space="preserve"> </w:t>
      </w:r>
      <w:r w:rsidRPr="006F6735">
        <w:rPr>
          <w:rFonts w:ascii="Arial" w:eastAsiaTheme="minorHAnsi" w:hAnsi="Arial" w:cs="Arial"/>
          <w:color w:val="000000"/>
          <w:kern w:val="16"/>
          <w:sz w:val="20"/>
          <w:szCs w:val="20"/>
        </w:rPr>
        <w:t>Kurul Karar Organı’nın 08.02.2023 tarih ve 7/158 sayılı kararı ile;</w:t>
      </w:r>
    </w:p>
    <w:p w:rsidR="00437609" w:rsidRPr="006F6735" w:rsidRDefault="00322506" w:rsidP="006F6735">
      <w:pPr>
        <w:numPr>
          <w:ilvl w:val="0"/>
          <w:numId w:val="2"/>
        </w:numPr>
        <w:autoSpaceDE/>
        <w:autoSpaceDN/>
        <w:spacing w:line="276" w:lineRule="auto"/>
        <w:ind w:left="170" w:right="170" w:firstLine="0"/>
        <w:jc w:val="both"/>
        <w:rPr>
          <w:rFonts w:ascii="Arial" w:eastAsiaTheme="minorHAnsi" w:hAnsi="Arial" w:cs="Arial"/>
          <w:color w:val="000000"/>
          <w:kern w:val="16"/>
          <w:sz w:val="20"/>
          <w:szCs w:val="20"/>
        </w:rPr>
      </w:pPr>
      <w:r w:rsidRPr="006F6735">
        <w:rPr>
          <w:rFonts w:ascii="Arial" w:eastAsiaTheme="minorHAnsi" w:hAnsi="Arial" w:cs="Arial"/>
          <w:color w:val="000000"/>
          <w:kern w:val="16"/>
          <w:sz w:val="20"/>
          <w:szCs w:val="20"/>
        </w:rPr>
        <w:t>III-52.1 sayılı Yatırım Fonlarına İlişkin Esaslar Tebliğ’inin 14. maddesinin 7. fıkrası hükmü çerçevesinde ülkemizde yaşanan deprem dolayısıyla Borsa İstanbul A.Ş. (BIST) Pay Piyasası’nın kapalı olması nedeniyle, 08.02.2023 tarihinden başlayarak söz konusu piyasa yeniden açılıncaya kadar portföy saklayıcısının bilgilendirilmesi ve fonun Kamuyu Aydınlatma Platformu (KAP) sayfasında yapılacak bir duyuru ile yatırımcılara bilgi verilmesi kaydıyla;</w:t>
      </w:r>
    </w:p>
    <w:p w:rsidR="00437609" w:rsidRPr="006F6735" w:rsidRDefault="00322506" w:rsidP="006F6735">
      <w:pPr>
        <w:numPr>
          <w:ilvl w:val="0"/>
          <w:numId w:val="1"/>
        </w:numPr>
        <w:autoSpaceDE/>
        <w:autoSpaceDN/>
        <w:spacing w:line="276" w:lineRule="auto"/>
        <w:ind w:left="170" w:right="170" w:firstLine="0"/>
        <w:jc w:val="both"/>
        <w:rPr>
          <w:rFonts w:ascii="Arial" w:eastAsiaTheme="minorHAnsi" w:hAnsi="Arial" w:cs="Arial"/>
          <w:color w:val="000000"/>
          <w:kern w:val="16"/>
          <w:sz w:val="20"/>
          <w:szCs w:val="20"/>
        </w:rPr>
      </w:pPr>
      <w:r w:rsidRPr="006F6735">
        <w:rPr>
          <w:rFonts w:ascii="Arial" w:eastAsiaTheme="minorHAnsi" w:hAnsi="Arial" w:cs="Arial"/>
          <w:color w:val="000000"/>
          <w:kern w:val="16"/>
          <w:sz w:val="20"/>
          <w:szCs w:val="20"/>
        </w:rPr>
        <w:t>Borçlanma araçları şemsiye fonu, para piyasası şemsiye fonu, garantili/koruma amaçlı şemsiye fonu, kıymetli madenler şemsiye fonuna bağlı olarak ihraç edilen fonlar,</w:t>
      </w:r>
    </w:p>
    <w:p w:rsidR="00437609" w:rsidRPr="0061428A" w:rsidRDefault="00322506" w:rsidP="006F6735">
      <w:pPr>
        <w:numPr>
          <w:ilvl w:val="0"/>
          <w:numId w:val="1"/>
        </w:numPr>
        <w:autoSpaceDE/>
        <w:autoSpaceDN/>
        <w:spacing w:line="276" w:lineRule="auto"/>
        <w:ind w:left="170" w:right="170" w:firstLine="0"/>
        <w:jc w:val="both"/>
        <w:rPr>
          <w:rFonts w:ascii="Arial" w:hAnsi="Arial" w:cs="Arial"/>
          <w:sz w:val="20"/>
          <w:szCs w:val="20"/>
        </w:rPr>
      </w:pPr>
      <w:r w:rsidRPr="006F6735">
        <w:rPr>
          <w:rFonts w:ascii="Arial" w:eastAsiaTheme="minorHAnsi" w:hAnsi="Arial" w:cs="Arial"/>
          <w:color w:val="000000"/>
          <w:kern w:val="16"/>
          <w:sz w:val="20"/>
          <w:szCs w:val="20"/>
        </w:rPr>
        <w:t>Unvanında “döviz”, “para piyasası” ve “kısa vadeli” ibareleri</w:t>
      </w:r>
      <w:r w:rsidRPr="0061428A">
        <w:rPr>
          <w:rFonts w:ascii="Arial" w:hAnsi="Arial" w:cs="Arial"/>
          <w:sz w:val="20"/>
          <w:szCs w:val="20"/>
        </w:rPr>
        <w:t xml:space="preserve"> yer alan serbest fonlar ile unvanında “yabancı” ibaresi yer</w:t>
      </w:r>
      <w:r w:rsidRPr="0061428A">
        <w:rPr>
          <w:rFonts w:ascii="Arial" w:hAnsi="Arial" w:cs="Arial"/>
          <w:spacing w:val="-47"/>
          <w:sz w:val="20"/>
          <w:szCs w:val="20"/>
        </w:rPr>
        <w:t xml:space="preserve"> </w:t>
      </w:r>
      <w:r w:rsidRPr="0061428A">
        <w:rPr>
          <w:rFonts w:ascii="Arial" w:hAnsi="Arial" w:cs="Arial"/>
          <w:sz w:val="20"/>
          <w:szCs w:val="20"/>
        </w:rPr>
        <w:t>alan</w:t>
      </w:r>
      <w:r w:rsidRPr="0061428A">
        <w:rPr>
          <w:rFonts w:ascii="Arial" w:hAnsi="Arial" w:cs="Arial"/>
          <w:spacing w:val="-3"/>
          <w:sz w:val="20"/>
          <w:szCs w:val="20"/>
        </w:rPr>
        <w:t xml:space="preserve"> </w:t>
      </w:r>
      <w:r w:rsidRPr="0061428A">
        <w:rPr>
          <w:rFonts w:ascii="Arial" w:hAnsi="Arial" w:cs="Arial"/>
          <w:sz w:val="20"/>
          <w:szCs w:val="20"/>
        </w:rPr>
        <w:t>fonlar,</w:t>
      </w:r>
    </w:p>
    <w:p w:rsidR="006F6735" w:rsidRDefault="00322506" w:rsidP="006F6735">
      <w:pPr>
        <w:numPr>
          <w:ilvl w:val="0"/>
          <w:numId w:val="1"/>
        </w:numPr>
        <w:autoSpaceDE/>
        <w:autoSpaceDN/>
        <w:spacing w:line="276" w:lineRule="auto"/>
        <w:ind w:left="170" w:right="170" w:firstLine="0"/>
        <w:jc w:val="both"/>
        <w:rPr>
          <w:rFonts w:ascii="Arial" w:eastAsiaTheme="minorHAnsi" w:hAnsi="Arial" w:cs="Arial"/>
          <w:color w:val="000000"/>
          <w:kern w:val="16"/>
          <w:sz w:val="20"/>
          <w:szCs w:val="20"/>
        </w:rPr>
      </w:pPr>
      <w:r w:rsidRPr="006F6735">
        <w:rPr>
          <w:rFonts w:ascii="Arial" w:eastAsiaTheme="minorHAnsi" w:hAnsi="Arial" w:cs="Arial"/>
          <w:color w:val="000000"/>
          <w:kern w:val="16"/>
          <w:sz w:val="20"/>
          <w:szCs w:val="20"/>
        </w:rPr>
        <w:t>Katılım şemsiye fonu’na bağlı fonlardan unvanında belirli bir varlık grubu (kira sertifikası, altın, kıymetli madenler, para piyasası) geçen fonlar</w:t>
      </w:r>
      <w:r w:rsidR="006F6735" w:rsidRPr="006F6735">
        <w:rPr>
          <w:rFonts w:ascii="Arial" w:eastAsiaTheme="minorHAnsi" w:hAnsi="Arial" w:cs="Arial"/>
          <w:color w:val="000000"/>
          <w:kern w:val="16"/>
          <w:sz w:val="20"/>
          <w:szCs w:val="20"/>
        </w:rPr>
        <w:t xml:space="preserve"> </w:t>
      </w:r>
    </w:p>
    <w:p w:rsidR="00437609" w:rsidRPr="006F6735" w:rsidRDefault="00322506" w:rsidP="006F6735">
      <w:pPr>
        <w:autoSpaceDE/>
        <w:autoSpaceDN/>
        <w:spacing w:line="276" w:lineRule="auto"/>
        <w:ind w:left="170" w:right="170"/>
        <w:jc w:val="both"/>
        <w:rPr>
          <w:rFonts w:ascii="Arial" w:eastAsiaTheme="minorHAnsi" w:hAnsi="Arial" w:cs="Arial"/>
          <w:color w:val="000000"/>
          <w:kern w:val="16"/>
          <w:sz w:val="20"/>
          <w:szCs w:val="20"/>
        </w:rPr>
      </w:pPr>
      <w:r w:rsidRPr="006F6735">
        <w:rPr>
          <w:rFonts w:ascii="Arial" w:eastAsiaTheme="minorHAnsi" w:hAnsi="Arial" w:cs="Arial"/>
          <w:color w:val="000000"/>
          <w:kern w:val="16"/>
          <w:sz w:val="20"/>
          <w:szCs w:val="20"/>
        </w:rPr>
        <w:t>dışındaki fonların birim pay değeri hesaplamamaları ve katılma payı alım satımını durdurmaları uygun bulunmuştur. Bu kapsamda, sözkonusu fonların Türkiye Elektronik Fon Alım Satım Platformu (TEFAS) işlemleri de durdurulmuştur.</w:t>
      </w:r>
    </w:p>
    <w:p w:rsidR="00437609" w:rsidRPr="006F6735" w:rsidRDefault="00322506" w:rsidP="006F6735">
      <w:pPr>
        <w:numPr>
          <w:ilvl w:val="0"/>
          <w:numId w:val="2"/>
        </w:numPr>
        <w:autoSpaceDE/>
        <w:autoSpaceDN/>
        <w:spacing w:line="276" w:lineRule="auto"/>
        <w:ind w:left="170" w:right="170" w:firstLine="0"/>
        <w:jc w:val="both"/>
        <w:rPr>
          <w:rFonts w:ascii="Arial" w:eastAsiaTheme="minorHAnsi" w:hAnsi="Arial" w:cs="Arial"/>
          <w:color w:val="000000"/>
          <w:kern w:val="16"/>
          <w:sz w:val="20"/>
          <w:szCs w:val="20"/>
        </w:rPr>
      </w:pPr>
      <w:r w:rsidRPr="006F6735">
        <w:rPr>
          <w:rFonts w:ascii="Arial" w:eastAsiaTheme="minorHAnsi" w:hAnsi="Arial" w:cs="Arial"/>
          <w:color w:val="000000"/>
          <w:kern w:val="16"/>
          <w:sz w:val="20"/>
          <w:szCs w:val="20"/>
        </w:rPr>
        <w:t>Emeklilik  Yatırım  Fonlarının  Kuruluş  ve  Faaliyetlerine  İlişkin  Esaslar  Hakkında  Yönetmelik’in  27.  maddesi  hükmü çerçevesinde ülkemizde yaşanan deprem dolayısıyla BIST Pay Piyasası’nın kapalı olması nedeniyle, 08.02.2023 tarihinden başlayarak söz konusu piyasa yeniden açılıncaya kadar fonun KAP sayfasında yapılacak bir duyuru ile katılımcılara bilgi verilmesi kaydıyla,</w:t>
      </w:r>
    </w:p>
    <w:p w:rsidR="00437609" w:rsidRPr="006F6735" w:rsidRDefault="00322506" w:rsidP="006F6735">
      <w:pPr>
        <w:numPr>
          <w:ilvl w:val="0"/>
          <w:numId w:val="1"/>
        </w:numPr>
        <w:autoSpaceDE/>
        <w:autoSpaceDN/>
        <w:spacing w:line="276" w:lineRule="auto"/>
        <w:ind w:left="170" w:right="170" w:firstLine="0"/>
        <w:jc w:val="both"/>
        <w:rPr>
          <w:rFonts w:ascii="Arial" w:eastAsiaTheme="minorHAnsi" w:hAnsi="Arial" w:cs="Arial"/>
          <w:color w:val="000000"/>
          <w:kern w:val="16"/>
          <w:sz w:val="20"/>
          <w:szCs w:val="20"/>
        </w:rPr>
      </w:pPr>
      <w:r w:rsidRPr="006F6735">
        <w:rPr>
          <w:rFonts w:ascii="Arial" w:eastAsiaTheme="minorHAnsi" w:hAnsi="Arial" w:cs="Arial"/>
          <w:color w:val="000000"/>
          <w:kern w:val="16"/>
          <w:sz w:val="20"/>
          <w:szCs w:val="20"/>
        </w:rPr>
        <w:t>Borçlanma araçları, para piyasası, katılım (katılım hisse senedi fonları hariç), kıymetli madenler, başlangıç emeklilik yatırım fonları ile</w:t>
      </w:r>
    </w:p>
    <w:p w:rsidR="00437609" w:rsidRPr="006F6735" w:rsidRDefault="00322506" w:rsidP="006F6735">
      <w:pPr>
        <w:numPr>
          <w:ilvl w:val="0"/>
          <w:numId w:val="1"/>
        </w:numPr>
        <w:autoSpaceDE/>
        <w:autoSpaceDN/>
        <w:spacing w:line="276" w:lineRule="auto"/>
        <w:ind w:left="170" w:right="170" w:firstLine="0"/>
        <w:jc w:val="both"/>
        <w:rPr>
          <w:rFonts w:ascii="Arial" w:eastAsiaTheme="minorHAnsi" w:hAnsi="Arial" w:cs="Arial"/>
          <w:color w:val="000000"/>
          <w:kern w:val="16"/>
          <w:sz w:val="20"/>
          <w:szCs w:val="20"/>
        </w:rPr>
      </w:pPr>
      <w:r w:rsidRPr="006F6735">
        <w:rPr>
          <w:rFonts w:ascii="Arial" w:eastAsiaTheme="minorHAnsi" w:hAnsi="Arial" w:cs="Arial"/>
          <w:color w:val="000000"/>
          <w:kern w:val="16"/>
          <w:sz w:val="20"/>
          <w:szCs w:val="20"/>
        </w:rPr>
        <w:t>Unvanında “yabancı” ve “döviz” ibaresi yer alan emeklilik yatırım fonları</w:t>
      </w:r>
    </w:p>
    <w:p w:rsidR="00437609" w:rsidRPr="006F6735" w:rsidRDefault="00322506" w:rsidP="006F6735">
      <w:pPr>
        <w:autoSpaceDE/>
        <w:autoSpaceDN/>
        <w:spacing w:line="276" w:lineRule="auto"/>
        <w:ind w:left="170" w:right="170"/>
        <w:jc w:val="both"/>
        <w:rPr>
          <w:rFonts w:ascii="Arial" w:eastAsiaTheme="minorHAnsi" w:hAnsi="Arial" w:cs="Arial"/>
          <w:color w:val="000000"/>
          <w:kern w:val="16"/>
          <w:sz w:val="20"/>
          <w:szCs w:val="20"/>
        </w:rPr>
      </w:pPr>
      <w:r w:rsidRPr="006F6735">
        <w:rPr>
          <w:rFonts w:ascii="Arial" w:eastAsiaTheme="minorHAnsi" w:hAnsi="Arial" w:cs="Arial"/>
          <w:color w:val="000000"/>
          <w:kern w:val="16"/>
          <w:sz w:val="20"/>
          <w:szCs w:val="20"/>
        </w:rPr>
        <w:t>dışındaki emeklilik yatırım fonlarının (OKS fonları dahil) pay fiyatı hesaplamamaları ve pay alım satımını durdurmaları uygun bulunmuştur. Bu kapsamda, sözkonusu fonların Bireysel Emeklilik Fon Alım Satım Platformu (BEFAS) işlemleri de durdurulmuştur.</w:t>
      </w:r>
    </w:p>
    <w:p w:rsidR="00437609" w:rsidRDefault="00322506" w:rsidP="006F6735">
      <w:pPr>
        <w:numPr>
          <w:ilvl w:val="0"/>
          <w:numId w:val="2"/>
        </w:numPr>
        <w:autoSpaceDE/>
        <w:autoSpaceDN/>
        <w:spacing w:line="276" w:lineRule="auto"/>
        <w:ind w:left="170" w:right="170" w:firstLine="0"/>
        <w:jc w:val="both"/>
        <w:rPr>
          <w:rFonts w:ascii="Arial" w:eastAsiaTheme="minorHAnsi" w:hAnsi="Arial" w:cs="Arial"/>
          <w:color w:val="000000"/>
          <w:kern w:val="16"/>
          <w:sz w:val="20"/>
          <w:szCs w:val="20"/>
        </w:rPr>
      </w:pPr>
      <w:r w:rsidRPr="006F6735">
        <w:rPr>
          <w:rFonts w:ascii="Arial" w:eastAsiaTheme="minorHAnsi" w:hAnsi="Arial" w:cs="Arial"/>
          <w:color w:val="000000"/>
          <w:kern w:val="16"/>
          <w:sz w:val="20"/>
          <w:szCs w:val="20"/>
        </w:rPr>
        <w:t>Pay alım/satım işlemleri durdurulan yatırım fonu ve emeklilik yatırım fonları için değerleme tarihi 08.02.2023 olan pay alım/satım talimatlarının (TEFAS/BEFAS’ta gerçekleşen işlemler dahil) gerçekleştirilmesinde değerleme tarihi olarak BIST Pay Piyasası’nın açıldığı ilk gün dikkate alınacaktır.</w:t>
      </w:r>
    </w:p>
    <w:p w:rsidR="006F6735" w:rsidRPr="006F6735" w:rsidRDefault="006F6735" w:rsidP="006F6735">
      <w:pPr>
        <w:autoSpaceDE/>
        <w:autoSpaceDN/>
        <w:spacing w:line="276" w:lineRule="auto"/>
        <w:ind w:left="170" w:right="170"/>
        <w:jc w:val="both"/>
        <w:rPr>
          <w:rFonts w:ascii="Arial" w:eastAsiaTheme="minorHAnsi" w:hAnsi="Arial" w:cs="Arial"/>
          <w:color w:val="000000"/>
          <w:kern w:val="16"/>
          <w:sz w:val="20"/>
          <w:szCs w:val="20"/>
        </w:rPr>
      </w:pPr>
    </w:p>
    <w:p w:rsidR="00437609" w:rsidRPr="006F6735" w:rsidRDefault="00322506" w:rsidP="006F6735">
      <w:pPr>
        <w:pStyle w:val="Balk1"/>
        <w:numPr>
          <w:ilvl w:val="0"/>
          <w:numId w:val="3"/>
        </w:numPr>
        <w:tabs>
          <w:tab w:val="left" w:pos="965"/>
        </w:tabs>
        <w:spacing w:line="276" w:lineRule="auto"/>
        <w:ind w:hanging="287"/>
        <w:rPr>
          <w:sz w:val="20"/>
          <w:szCs w:val="20"/>
        </w:rPr>
      </w:pPr>
      <w:r w:rsidRPr="0061428A">
        <w:rPr>
          <w:color w:val="FF0000"/>
          <w:sz w:val="20"/>
          <w:szCs w:val="20"/>
          <w:u w:val="single" w:color="FF0000"/>
        </w:rPr>
        <w:t>DİĞER</w:t>
      </w:r>
      <w:r w:rsidRPr="006F6735">
        <w:rPr>
          <w:color w:val="FF0000"/>
          <w:sz w:val="20"/>
          <w:szCs w:val="20"/>
          <w:u w:val="single" w:color="FF0000"/>
        </w:rPr>
        <w:t xml:space="preserve"> </w:t>
      </w:r>
      <w:r w:rsidRPr="0061428A">
        <w:rPr>
          <w:color w:val="FF0000"/>
          <w:sz w:val="20"/>
          <w:szCs w:val="20"/>
          <w:u w:val="single" w:color="FF0000"/>
        </w:rPr>
        <w:t>ÖZEL</w:t>
      </w:r>
      <w:r w:rsidRPr="006F6735">
        <w:rPr>
          <w:color w:val="FF0000"/>
          <w:sz w:val="20"/>
          <w:szCs w:val="20"/>
          <w:u w:val="single" w:color="FF0000"/>
        </w:rPr>
        <w:t xml:space="preserve"> </w:t>
      </w:r>
      <w:r w:rsidRPr="0061428A">
        <w:rPr>
          <w:color w:val="FF0000"/>
          <w:sz w:val="20"/>
          <w:szCs w:val="20"/>
          <w:u w:val="single" w:color="FF0000"/>
        </w:rPr>
        <w:t>DURUMLAR</w:t>
      </w:r>
    </w:p>
    <w:p w:rsidR="00437609" w:rsidRPr="006F6735" w:rsidRDefault="00322506" w:rsidP="006F6735">
      <w:pPr>
        <w:autoSpaceDE/>
        <w:autoSpaceDN/>
        <w:spacing w:line="276" w:lineRule="auto"/>
        <w:ind w:left="170" w:right="170"/>
        <w:jc w:val="both"/>
        <w:rPr>
          <w:rFonts w:ascii="Arial" w:eastAsiaTheme="minorHAnsi" w:hAnsi="Arial" w:cs="Arial"/>
          <w:color w:val="000000"/>
          <w:kern w:val="16"/>
          <w:sz w:val="20"/>
          <w:szCs w:val="20"/>
        </w:rPr>
      </w:pPr>
      <w:r w:rsidRPr="006F6735">
        <w:rPr>
          <w:rFonts w:ascii="Arial" w:eastAsiaTheme="minorHAnsi" w:hAnsi="Arial" w:cs="Arial"/>
          <w:color w:val="000000"/>
          <w:kern w:val="16"/>
          <w:sz w:val="20"/>
          <w:szCs w:val="20"/>
        </w:rPr>
        <w:t>İhraç ettiği sermaye piyasası araçları bir borsada işlem görmeyen ortaklıkların özel durum açıklamalarına</w:t>
      </w:r>
    </w:p>
    <w:p w:rsidR="00437609" w:rsidRPr="006F6735" w:rsidRDefault="00416BA9" w:rsidP="006F6735">
      <w:pPr>
        <w:autoSpaceDE/>
        <w:autoSpaceDN/>
        <w:spacing w:line="276" w:lineRule="auto"/>
        <w:ind w:left="170" w:right="170"/>
        <w:jc w:val="both"/>
        <w:rPr>
          <w:rFonts w:ascii="Arial" w:eastAsiaTheme="minorHAnsi" w:hAnsi="Arial" w:cs="Arial"/>
          <w:color w:val="000000"/>
          <w:kern w:val="16"/>
          <w:sz w:val="20"/>
          <w:szCs w:val="20"/>
        </w:rPr>
      </w:pPr>
      <w:hyperlink r:id="rId8">
        <w:r w:rsidR="00322506" w:rsidRPr="006F6735">
          <w:rPr>
            <w:rFonts w:ascii="Arial" w:eastAsiaTheme="minorHAnsi" w:hAnsi="Arial" w:cs="Arial"/>
            <w:color w:val="000000"/>
            <w:kern w:val="16"/>
            <w:sz w:val="20"/>
            <w:szCs w:val="20"/>
          </w:rPr>
          <w:t xml:space="preserve">https://spk.gov.tr/raporlar/OzelDurumAciklamalari </w:t>
        </w:r>
      </w:hyperlink>
      <w:r w:rsidR="00322506" w:rsidRPr="006F6735">
        <w:rPr>
          <w:rFonts w:ascii="Arial" w:eastAsiaTheme="minorHAnsi" w:hAnsi="Arial" w:cs="Arial"/>
          <w:color w:val="000000"/>
          <w:kern w:val="16"/>
          <w:sz w:val="20"/>
          <w:szCs w:val="20"/>
        </w:rPr>
        <w:t>adresinden ulaşabilirsiniz.</w:t>
      </w:r>
      <w:bookmarkEnd w:id="0"/>
    </w:p>
    <w:sectPr w:rsidR="00437609" w:rsidRPr="006F6735">
      <w:headerReference w:type="even" r:id="rId9"/>
      <w:headerReference w:type="default" r:id="rId10"/>
      <w:footerReference w:type="even" r:id="rId11"/>
      <w:footerReference w:type="default" r:id="rId12"/>
      <w:headerReference w:type="first" r:id="rId13"/>
      <w:footerReference w:type="first" r:id="rId14"/>
      <w:pgSz w:w="11910" w:h="16840"/>
      <w:pgMar w:top="1580" w:right="740" w:bottom="960" w:left="740" w:header="0" w:footer="77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6C80" w:rsidRDefault="00322506">
      <w:r>
        <w:separator/>
      </w:r>
    </w:p>
  </w:endnote>
  <w:endnote w:type="continuationSeparator" w:id="0">
    <w:p w:rsidR="009E6C80" w:rsidRDefault="00322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A2"/>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9BF" w:rsidRPr="00416BA9" w:rsidRDefault="00416BA9" w:rsidP="00416BA9">
    <w:pPr>
      <w:pStyle w:val="AltBilgi"/>
    </w:pPr>
    <w:r>
      <w:rPr>
        <w:rFonts w:ascii="Arial" w:hAnsi="Arial" w:cs="Arial"/>
        <w:sz w:val="20"/>
        <w:szCs w:val="20"/>
        <w:lang w:eastAsia="tr-TR"/>
      </w:rPr>
      <w:fldChar w:fldCharType="begin" w:fldLock="1"/>
    </w:r>
    <w:r>
      <w:rPr>
        <w:rFonts w:ascii="Arial" w:hAnsi="Arial" w:cs="Arial"/>
        <w:sz w:val="20"/>
        <w:szCs w:val="20"/>
        <w:lang w:eastAsia="tr-TR"/>
      </w:rPr>
      <w:instrText xml:space="preserve"> DOCPROPERTY bjFooterEvenPageDocProperty \* MERGEFORMAT </w:instrText>
    </w:r>
    <w:r>
      <w:rPr>
        <w:rFonts w:ascii="Arial" w:hAnsi="Arial" w:cs="Arial"/>
        <w:sz w:val="20"/>
        <w:szCs w:val="20"/>
        <w:lang w:eastAsia="tr-TR"/>
      </w:rPr>
      <w:fldChar w:fldCharType="separate"/>
    </w:r>
    <w:r w:rsidRPr="00085C4F">
      <w:rPr>
        <w:rFonts w:ascii="Malgun Gothic" w:eastAsia="Malgun Gothic" w:hAnsi="Malgun Gothic" w:cs="Arial"/>
        <w:b/>
        <w:color w:val="999999"/>
        <w:sz w:val="20"/>
        <w:szCs w:val="20"/>
        <w:lang w:eastAsia="tr-TR"/>
      </w:rPr>
      <w:t>Sınıflandırma|</w:t>
    </w:r>
    <w:r w:rsidRPr="00085C4F">
      <w:rPr>
        <w:rFonts w:ascii="Malgun Gothic" w:eastAsia="Malgun Gothic" w:hAnsi="Malgun Gothic" w:cs="Arial"/>
        <w:b/>
        <w:color w:val="339966"/>
        <w:sz w:val="20"/>
        <w:szCs w:val="20"/>
        <w:lang w:eastAsia="tr-TR"/>
      </w:rPr>
      <w:t>Genel</w:t>
    </w:r>
    <w:r>
      <w:rPr>
        <w:rFonts w:ascii="Arial" w:hAnsi="Arial" w:cs="Arial"/>
        <w:sz w:val="20"/>
        <w:szCs w:val="20"/>
        <w:lang w:eastAsia="tr-T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28A" w:rsidRPr="00416BA9" w:rsidRDefault="00416BA9" w:rsidP="00416BA9">
    <w:pPr>
      <w:pStyle w:val="AltBilgi"/>
    </w:pPr>
    <w:r>
      <w:rPr>
        <w:rFonts w:ascii="Arial" w:hAnsi="Arial" w:cs="Arial"/>
        <w:sz w:val="20"/>
        <w:szCs w:val="20"/>
        <w:lang w:eastAsia="tr-TR"/>
      </w:rPr>
      <w:fldChar w:fldCharType="begin" w:fldLock="1"/>
    </w:r>
    <w:r>
      <w:rPr>
        <w:rFonts w:ascii="Arial" w:hAnsi="Arial" w:cs="Arial"/>
        <w:sz w:val="20"/>
        <w:szCs w:val="20"/>
        <w:lang w:eastAsia="tr-TR"/>
      </w:rPr>
      <w:instrText xml:space="preserve"> DOCPROPERTY bjFooterBothDocProperty \* MERGEFORMAT </w:instrText>
    </w:r>
    <w:r>
      <w:rPr>
        <w:rFonts w:ascii="Arial" w:hAnsi="Arial" w:cs="Arial"/>
        <w:sz w:val="20"/>
        <w:szCs w:val="20"/>
        <w:lang w:eastAsia="tr-TR"/>
      </w:rPr>
      <w:fldChar w:fldCharType="separate"/>
    </w:r>
    <w:r w:rsidRPr="00085C4F">
      <w:rPr>
        <w:rFonts w:ascii="Malgun Gothic" w:eastAsia="Malgun Gothic" w:hAnsi="Malgun Gothic" w:cs="Arial"/>
        <w:b/>
        <w:color w:val="999999"/>
        <w:sz w:val="20"/>
        <w:szCs w:val="20"/>
        <w:lang w:eastAsia="tr-TR"/>
      </w:rPr>
      <w:t>Sınıflandırma|</w:t>
    </w:r>
    <w:r w:rsidRPr="00085C4F">
      <w:rPr>
        <w:rFonts w:ascii="Malgun Gothic" w:eastAsia="Malgun Gothic" w:hAnsi="Malgun Gothic" w:cs="Arial"/>
        <w:b/>
        <w:color w:val="339966"/>
        <w:sz w:val="20"/>
        <w:szCs w:val="20"/>
        <w:lang w:eastAsia="tr-TR"/>
      </w:rPr>
      <w:t>Genel</w:t>
    </w:r>
    <w:r>
      <w:rPr>
        <w:rFonts w:ascii="Arial" w:hAnsi="Arial" w:cs="Arial"/>
        <w:sz w:val="20"/>
        <w:szCs w:val="20"/>
        <w:lang w:eastAsia="tr-T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9BF" w:rsidRPr="00416BA9" w:rsidRDefault="00416BA9" w:rsidP="00416BA9">
    <w:pPr>
      <w:pStyle w:val="AltBilgi"/>
    </w:pPr>
    <w:r>
      <w:rPr>
        <w:rFonts w:ascii="Arial" w:hAnsi="Arial" w:cs="Arial"/>
        <w:sz w:val="20"/>
        <w:szCs w:val="20"/>
        <w:lang w:eastAsia="tr-TR"/>
      </w:rPr>
      <w:fldChar w:fldCharType="begin" w:fldLock="1"/>
    </w:r>
    <w:r>
      <w:rPr>
        <w:rFonts w:ascii="Arial" w:hAnsi="Arial" w:cs="Arial"/>
        <w:sz w:val="20"/>
        <w:szCs w:val="20"/>
        <w:lang w:eastAsia="tr-TR"/>
      </w:rPr>
      <w:instrText xml:space="preserve"> DOCPROPERTY bjFooterFirstPageDocProperty \* MERGEFORMAT </w:instrText>
    </w:r>
    <w:r>
      <w:rPr>
        <w:rFonts w:ascii="Arial" w:hAnsi="Arial" w:cs="Arial"/>
        <w:sz w:val="20"/>
        <w:szCs w:val="20"/>
        <w:lang w:eastAsia="tr-TR"/>
      </w:rPr>
      <w:fldChar w:fldCharType="separate"/>
    </w:r>
    <w:r w:rsidRPr="00085C4F">
      <w:rPr>
        <w:rFonts w:ascii="Malgun Gothic" w:eastAsia="Malgun Gothic" w:hAnsi="Malgun Gothic" w:cs="Arial"/>
        <w:b/>
        <w:color w:val="999999"/>
        <w:sz w:val="20"/>
        <w:szCs w:val="20"/>
        <w:lang w:eastAsia="tr-TR"/>
      </w:rPr>
      <w:t>Sınıflandırma|</w:t>
    </w:r>
    <w:r w:rsidRPr="00085C4F">
      <w:rPr>
        <w:rFonts w:ascii="Malgun Gothic" w:eastAsia="Malgun Gothic" w:hAnsi="Malgun Gothic" w:cs="Arial"/>
        <w:b/>
        <w:color w:val="339966"/>
        <w:sz w:val="20"/>
        <w:szCs w:val="20"/>
        <w:lang w:eastAsia="tr-TR"/>
      </w:rPr>
      <w:t>Genel</w:t>
    </w:r>
    <w:r>
      <w:rPr>
        <w:rFonts w:ascii="Arial" w:hAnsi="Arial" w:cs="Arial"/>
        <w:sz w:val="20"/>
        <w:szCs w:val="20"/>
        <w:lang w:eastAsia="tr-T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6C80" w:rsidRDefault="00322506">
      <w:r>
        <w:separator/>
      </w:r>
    </w:p>
  </w:footnote>
  <w:footnote w:type="continuationSeparator" w:id="0">
    <w:p w:rsidR="009E6C80" w:rsidRDefault="003225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28A" w:rsidRDefault="0061428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28A" w:rsidRDefault="0061428A">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28A" w:rsidRDefault="0061428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B5836"/>
    <w:multiLevelType w:val="hybridMultilevel"/>
    <w:tmpl w:val="9A843C98"/>
    <w:lvl w:ilvl="0" w:tplc="1264F756">
      <w:start w:val="1"/>
      <w:numFmt w:val="upperLetter"/>
      <w:lvlText w:val="%1."/>
      <w:lvlJc w:val="left"/>
      <w:pPr>
        <w:ind w:left="964" w:hanging="286"/>
      </w:pPr>
      <w:rPr>
        <w:rFonts w:ascii="Arial" w:eastAsia="Arial" w:hAnsi="Arial" w:cs="Arial" w:hint="default"/>
        <w:b/>
        <w:bCs/>
        <w:color w:val="FF0000"/>
        <w:spacing w:val="-3"/>
        <w:w w:val="99"/>
        <w:sz w:val="18"/>
        <w:szCs w:val="18"/>
        <w:lang w:val="tr-TR" w:eastAsia="en-US" w:bidi="ar-SA"/>
      </w:rPr>
    </w:lvl>
    <w:lvl w:ilvl="1" w:tplc="4B848DC8">
      <w:start w:val="1"/>
      <w:numFmt w:val="decimal"/>
      <w:lvlText w:val="%2."/>
      <w:lvlJc w:val="left"/>
      <w:pPr>
        <w:ind w:left="1038" w:hanging="360"/>
      </w:pPr>
      <w:rPr>
        <w:rFonts w:ascii="Arial" w:eastAsia="Arial" w:hAnsi="Arial" w:cs="Arial" w:hint="default"/>
        <w:b/>
        <w:bCs/>
        <w:color w:val="1F487C"/>
        <w:w w:val="99"/>
        <w:sz w:val="18"/>
        <w:szCs w:val="18"/>
        <w:lang w:val="tr-TR" w:eastAsia="en-US" w:bidi="ar-SA"/>
      </w:rPr>
    </w:lvl>
    <w:lvl w:ilvl="2" w:tplc="9E92EA16">
      <w:numFmt w:val="bullet"/>
      <w:lvlText w:val="•"/>
      <w:lvlJc w:val="left"/>
      <w:pPr>
        <w:ind w:left="2082" w:hanging="360"/>
      </w:pPr>
      <w:rPr>
        <w:rFonts w:hint="default"/>
        <w:lang w:val="tr-TR" w:eastAsia="en-US" w:bidi="ar-SA"/>
      </w:rPr>
    </w:lvl>
    <w:lvl w:ilvl="3" w:tplc="CD444FF8">
      <w:numFmt w:val="bullet"/>
      <w:lvlText w:val="•"/>
      <w:lvlJc w:val="left"/>
      <w:pPr>
        <w:ind w:left="3125" w:hanging="360"/>
      </w:pPr>
      <w:rPr>
        <w:rFonts w:hint="default"/>
        <w:lang w:val="tr-TR" w:eastAsia="en-US" w:bidi="ar-SA"/>
      </w:rPr>
    </w:lvl>
    <w:lvl w:ilvl="4" w:tplc="3CDC250C">
      <w:numFmt w:val="bullet"/>
      <w:lvlText w:val="•"/>
      <w:lvlJc w:val="left"/>
      <w:pPr>
        <w:ind w:left="4168" w:hanging="360"/>
      </w:pPr>
      <w:rPr>
        <w:rFonts w:hint="default"/>
        <w:lang w:val="tr-TR" w:eastAsia="en-US" w:bidi="ar-SA"/>
      </w:rPr>
    </w:lvl>
    <w:lvl w:ilvl="5" w:tplc="9CA62C46">
      <w:numFmt w:val="bullet"/>
      <w:lvlText w:val="•"/>
      <w:lvlJc w:val="left"/>
      <w:pPr>
        <w:ind w:left="5211" w:hanging="360"/>
      </w:pPr>
      <w:rPr>
        <w:rFonts w:hint="default"/>
        <w:lang w:val="tr-TR" w:eastAsia="en-US" w:bidi="ar-SA"/>
      </w:rPr>
    </w:lvl>
    <w:lvl w:ilvl="6" w:tplc="08723F08">
      <w:numFmt w:val="bullet"/>
      <w:lvlText w:val="•"/>
      <w:lvlJc w:val="left"/>
      <w:pPr>
        <w:ind w:left="6254" w:hanging="360"/>
      </w:pPr>
      <w:rPr>
        <w:rFonts w:hint="default"/>
        <w:lang w:val="tr-TR" w:eastAsia="en-US" w:bidi="ar-SA"/>
      </w:rPr>
    </w:lvl>
    <w:lvl w:ilvl="7" w:tplc="930CC180">
      <w:numFmt w:val="bullet"/>
      <w:lvlText w:val="•"/>
      <w:lvlJc w:val="left"/>
      <w:pPr>
        <w:ind w:left="7297" w:hanging="360"/>
      </w:pPr>
      <w:rPr>
        <w:rFonts w:hint="default"/>
        <w:lang w:val="tr-TR" w:eastAsia="en-US" w:bidi="ar-SA"/>
      </w:rPr>
    </w:lvl>
    <w:lvl w:ilvl="8" w:tplc="D0C252A0">
      <w:numFmt w:val="bullet"/>
      <w:lvlText w:val="•"/>
      <w:lvlJc w:val="left"/>
      <w:pPr>
        <w:ind w:left="8340" w:hanging="360"/>
      </w:pPr>
      <w:rPr>
        <w:rFonts w:hint="default"/>
        <w:lang w:val="tr-TR" w:eastAsia="en-US" w:bidi="ar-SA"/>
      </w:rPr>
    </w:lvl>
  </w:abstractNum>
  <w:abstractNum w:abstractNumId="1" w15:restartNumberingAfterBreak="0">
    <w:nsid w:val="5FA100A0"/>
    <w:multiLevelType w:val="hybridMultilevel"/>
    <w:tmpl w:val="322E9ECA"/>
    <w:lvl w:ilvl="0" w:tplc="4C3AC3E0">
      <w:numFmt w:val="bullet"/>
      <w:lvlText w:val="-"/>
      <w:lvlJc w:val="left"/>
      <w:pPr>
        <w:ind w:left="112" w:hanging="286"/>
      </w:pPr>
      <w:rPr>
        <w:rFonts w:ascii="Arial MT" w:eastAsia="Arial MT" w:hAnsi="Arial MT" w:cs="Arial MT" w:hint="default"/>
        <w:w w:val="99"/>
        <w:sz w:val="18"/>
        <w:szCs w:val="18"/>
        <w:lang w:val="tr-TR" w:eastAsia="en-US" w:bidi="ar-SA"/>
      </w:rPr>
    </w:lvl>
    <w:lvl w:ilvl="1" w:tplc="FA38B7B0">
      <w:numFmt w:val="bullet"/>
      <w:lvlText w:val="•"/>
      <w:lvlJc w:val="left"/>
      <w:pPr>
        <w:ind w:left="1150" w:hanging="286"/>
      </w:pPr>
      <w:rPr>
        <w:rFonts w:hint="default"/>
        <w:lang w:val="tr-TR" w:eastAsia="en-US" w:bidi="ar-SA"/>
      </w:rPr>
    </w:lvl>
    <w:lvl w:ilvl="2" w:tplc="4EF6B8C8">
      <w:numFmt w:val="bullet"/>
      <w:lvlText w:val="•"/>
      <w:lvlJc w:val="left"/>
      <w:pPr>
        <w:ind w:left="2181" w:hanging="286"/>
      </w:pPr>
      <w:rPr>
        <w:rFonts w:hint="default"/>
        <w:lang w:val="tr-TR" w:eastAsia="en-US" w:bidi="ar-SA"/>
      </w:rPr>
    </w:lvl>
    <w:lvl w:ilvl="3" w:tplc="80B65782">
      <w:numFmt w:val="bullet"/>
      <w:lvlText w:val="•"/>
      <w:lvlJc w:val="left"/>
      <w:pPr>
        <w:ind w:left="3211" w:hanging="286"/>
      </w:pPr>
      <w:rPr>
        <w:rFonts w:hint="default"/>
        <w:lang w:val="tr-TR" w:eastAsia="en-US" w:bidi="ar-SA"/>
      </w:rPr>
    </w:lvl>
    <w:lvl w:ilvl="4" w:tplc="7466E2EA">
      <w:numFmt w:val="bullet"/>
      <w:lvlText w:val="•"/>
      <w:lvlJc w:val="left"/>
      <w:pPr>
        <w:ind w:left="4242" w:hanging="286"/>
      </w:pPr>
      <w:rPr>
        <w:rFonts w:hint="default"/>
        <w:lang w:val="tr-TR" w:eastAsia="en-US" w:bidi="ar-SA"/>
      </w:rPr>
    </w:lvl>
    <w:lvl w:ilvl="5" w:tplc="B18CD0DA">
      <w:numFmt w:val="bullet"/>
      <w:lvlText w:val="•"/>
      <w:lvlJc w:val="left"/>
      <w:pPr>
        <w:ind w:left="5273" w:hanging="286"/>
      </w:pPr>
      <w:rPr>
        <w:rFonts w:hint="default"/>
        <w:lang w:val="tr-TR" w:eastAsia="en-US" w:bidi="ar-SA"/>
      </w:rPr>
    </w:lvl>
    <w:lvl w:ilvl="6" w:tplc="C990479E">
      <w:numFmt w:val="bullet"/>
      <w:lvlText w:val="•"/>
      <w:lvlJc w:val="left"/>
      <w:pPr>
        <w:ind w:left="6303" w:hanging="286"/>
      </w:pPr>
      <w:rPr>
        <w:rFonts w:hint="default"/>
        <w:lang w:val="tr-TR" w:eastAsia="en-US" w:bidi="ar-SA"/>
      </w:rPr>
    </w:lvl>
    <w:lvl w:ilvl="7" w:tplc="FA589768">
      <w:numFmt w:val="bullet"/>
      <w:lvlText w:val="•"/>
      <w:lvlJc w:val="left"/>
      <w:pPr>
        <w:ind w:left="7334" w:hanging="286"/>
      </w:pPr>
      <w:rPr>
        <w:rFonts w:hint="default"/>
        <w:lang w:val="tr-TR" w:eastAsia="en-US" w:bidi="ar-SA"/>
      </w:rPr>
    </w:lvl>
    <w:lvl w:ilvl="8" w:tplc="D742A49E">
      <w:numFmt w:val="bullet"/>
      <w:lvlText w:val="•"/>
      <w:lvlJc w:val="left"/>
      <w:pPr>
        <w:ind w:left="8365" w:hanging="286"/>
      </w:pPr>
      <w:rPr>
        <w:rFonts w:hint="default"/>
        <w:lang w:val="tr-TR" w:eastAsia="en-US" w:bidi="ar-SA"/>
      </w:rPr>
    </w:lvl>
  </w:abstractNum>
  <w:abstractNum w:abstractNumId="2" w15:restartNumberingAfterBreak="0">
    <w:nsid w:val="74ED7817"/>
    <w:multiLevelType w:val="hybridMultilevel"/>
    <w:tmpl w:val="B16AB388"/>
    <w:lvl w:ilvl="0" w:tplc="0720C10E">
      <w:start w:val="1"/>
      <w:numFmt w:val="upperLetter"/>
      <w:lvlText w:val="%1)"/>
      <w:lvlJc w:val="left"/>
      <w:pPr>
        <w:ind w:left="112" w:hanging="286"/>
      </w:pPr>
      <w:rPr>
        <w:rFonts w:ascii="Arial" w:eastAsia="Arial" w:hAnsi="Arial" w:cs="Arial" w:hint="default"/>
        <w:b/>
        <w:bCs/>
        <w:color w:val="1F487C"/>
        <w:spacing w:val="-3"/>
        <w:w w:val="99"/>
        <w:sz w:val="18"/>
        <w:szCs w:val="18"/>
        <w:lang w:val="tr-TR" w:eastAsia="en-US" w:bidi="ar-SA"/>
      </w:rPr>
    </w:lvl>
    <w:lvl w:ilvl="1" w:tplc="A64ADB5A">
      <w:numFmt w:val="bullet"/>
      <w:lvlText w:val="•"/>
      <w:lvlJc w:val="left"/>
      <w:pPr>
        <w:ind w:left="1150" w:hanging="286"/>
      </w:pPr>
      <w:rPr>
        <w:rFonts w:hint="default"/>
        <w:lang w:val="tr-TR" w:eastAsia="en-US" w:bidi="ar-SA"/>
      </w:rPr>
    </w:lvl>
    <w:lvl w:ilvl="2" w:tplc="CCDA4ABA">
      <w:numFmt w:val="bullet"/>
      <w:lvlText w:val="•"/>
      <w:lvlJc w:val="left"/>
      <w:pPr>
        <w:ind w:left="2181" w:hanging="286"/>
      </w:pPr>
      <w:rPr>
        <w:rFonts w:hint="default"/>
        <w:lang w:val="tr-TR" w:eastAsia="en-US" w:bidi="ar-SA"/>
      </w:rPr>
    </w:lvl>
    <w:lvl w:ilvl="3" w:tplc="1E7CF632">
      <w:numFmt w:val="bullet"/>
      <w:lvlText w:val="•"/>
      <w:lvlJc w:val="left"/>
      <w:pPr>
        <w:ind w:left="3211" w:hanging="286"/>
      </w:pPr>
      <w:rPr>
        <w:rFonts w:hint="default"/>
        <w:lang w:val="tr-TR" w:eastAsia="en-US" w:bidi="ar-SA"/>
      </w:rPr>
    </w:lvl>
    <w:lvl w:ilvl="4" w:tplc="80B89812">
      <w:numFmt w:val="bullet"/>
      <w:lvlText w:val="•"/>
      <w:lvlJc w:val="left"/>
      <w:pPr>
        <w:ind w:left="4242" w:hanging="286"/>
      </w:pPr>
      <w:rPr>
        <w:rFonts w:hint="default"/>
        <w:lang w:val="tr-TR" w:eastAsia="en-US" w:bidi="ar-SA"/>
      </w:rPr>
    </w:lvl>
    <w:lvl w:ilvl="5" w:tplc="9A507182">
      <w:numFmt w:val="bullet"/>
      <w:lvlText w:val="•"/>
      <w:lvlJc w:val="left"/>
      <w:pPr>
        <w:ind w:left="5273" w:hanging="286"/>
      </w:pPr>
      <w:rPr>
        <w:rFonts w:hint="default"/>
        <w:lang w:val="tr-TR" w:eastAsia="en-US" w:bidi="ar-SA"/>
      </w:rPr>
    </w:lvl>
    <w:lvl w:ilvl="6" w:tplc="01069ABE">
      <w:numFmt w:val="bullet"/>
      <w:lvlText w:val="•"/>
      <w:lvlJc w:val="left"/>
      <w:pPr>
        <w:ind w:left="6303" w:hanging="286"/>
      </w:pPr>
      <w:rPr>
        <w:rFonts w:hint="default"/>
        <w:lang w:val="tr-TR" w:eastAsia="en-US" w:bidi="ar-SA"/>
      </w:rPr>
    </w:lvl>
    <w:lvl w:ilvl="7" w:tplc="0D8862A2">
      <w:numFmt w:val="bullet"/>
      <w:lvlText w:val="•"/>
      <w:lvlJc w:val="left"/>
      <w:pPr>
        <w:ind w:left="7334" w:hanging="286"/>
      </w:pPr>
      <w:rPr>
        <w:rFonts w:hint="default"/>
        <w:lang w:val="tr-TR" w:eastAsia="en-US" w:bidi="ar-SA"/>
      </w:rPr>
    </w:lvl>
    <w:lvl w:ilvl="8" w:tplc="3A8A266C">
      <w:numFmt w:val="bullet"/>
      <w:lvlText w:val="•"/>
      <w:lvlJc w:val="left"/>
      <w:pPr>
        <w:ind w:left="8365" w:hanging="286"/>
      </w:pPr>
      <w:rPr>
        <w:rFonts w:hint="default"/>
        <w:lang w:val="tr-TR"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609"/>
    <w:rsid w:val="002769BF"/>
    <w:rsid w:val="00322506"/>
    <w:rsid w:val="00416BA9"/>
    <w:rsid w:val="00437609"/>
    <w:rsid w:val="0061428A"/>
    <w:rsid w:val="006F6735"/>
    <w:rsid w:val="009E6C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7D00EC"/>
  <w15:docId w15:val="{AAE601FF-0D41-45DF-9A26-E96B92BB5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MT" w:eastAsia="Arial MT" w:hAnsi="Arial MT" w:cs="Arial MT"/>
      <w:lang w:val="tr-TR"/>
    </w:rPr>
  </w:style>
  <w:style w:type="paragraph" w:styleId="Balk1">
    <w:name w:val="heading 1"/>
    <w:basedOn w:val="Normal"/>
    <w:uiPriority w:val="9"/>
    <w:qFormat/>
    <w:pPr>
      <w:ind w:left="964" w:hanging="287"/>
      <w:outlineLvl w:val="0"/>
    </w:pPr>
    <w:rPr>
      <w:rFonts w:ascii="Arial" w:eastAsia="Arial" w:hAnsi="Arial" w:cs="Arial"/>
      <w:b/>
      <w:bCs/>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8"/>
      <w:szCs w:val="18"/>
    </w:rPr>
  </w:style>
  <w:style w:type="paragraph" w:styleId="ListeParagraf">
    <w:name w:val="List Paragraph"/>
    <w:basedOn w:val="Normal"/>
    <w:uiPriority w:val="1"/>
    <w:qFormat/>
    <w:pPr>
      <w:spacing w:before="120"/>
      <w:ind w:left="112" w:firstLine="566"/>
      <w:jc w:val="both"/>
    </w:pPr>
  </w:style>
  <w:style w:type="paragraph" w:customStyle="1" w:styleId="TableParagraph">
    <w:name w:val="Table Paragraph"/>
    <w:basedOn w:val="Normal"/>
    <w:uiPriority w:val="1"/>
    <w:qFormat/>
    <w:rPr>
      <w:rFonts w:ascii="Arial" w:eastAsia="Arial" w:hAnsi="Arial" w:cs="Arial"/>
    </w:rPr>
  </w:style>
  <w:style w:type="paragraph" w:styleId="stBilgi">
    <w:name w:val="header"/>
    <w:basedOn w:val="Normal"/>
    <w:link w:val="stBilgiChar"/>
    <w:uiPriority w:val="99"/>
    <w:unhideWhenUsed/>
    <w:rsid w:val="002769BF"/>
    <w:pPr>
      <w:tabs>
        <w:tab w:val="center" w:pos="4536"/>
        <w:tab w:val="right" w:pos="9072"/>
      </w:tabs>
    </w:pPr>
  </w:style>
  <w:style w:type="character" w:customStyle="1" w:styleId="stBilgiChar">
    <w:name w:val="Üst Bilgi Char"/>
    <w:basedOn w:val="VarsaylanParagrafYazTipi"/>
    <w:link w:val="stBilgi"/>
    <w:uiPriority w:val="99"/>
    <w:rsid w:val="002769BF"/>
    <w:rPr>
      <w:rFonts w:ascii="Arial MT" w:eastAsia="Arial MT" w:hAnsi="Arial MT" w:cs="Arial MT"/>
      <w:lang w:val="tr-TR"/>
    </w:rPr>
  </w:style>
  <w:style w:type="paragraph" w:styleId="AltBilgi">
    <w:name w:val="footer"/>
    <w:basedOn w:val="Normal"/>
    <w:link w:val="AltBilgiChar"/>
    <w:uiPriority w:val="99"/>
    <w:unhideWhenUsed/>
    <w:rsid w:val="002769BF"/>
    <w:pPr>
      <w:tabs>
        <w:tab w:val="center" w:pos="4536"/>
        <w:tab w:val="right" w:pos="9072"/>
      </w:tabs>
    </w:pPr>
  </w:style>
  <w:style w:type="character" w:customStyle="1" w:styleId="AltBilgiChar">
    <w:name w:val="Alt Bilgi Char"/>
    <w:basedOn w:val="VarsaylanParagrafYazTipi"/>
    <w:link w:val="AltBilgi"/>
    <w:uiPriority w:val="99"/>
    <w:rsid w:val="002769BF"/>
    <w:rPr>
      <w:rFonts w:ascii="Arial MT" w:eastAsia="Arial MT" w:hAnsi="Arial MT" w:cs="Arial MT"/>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pk.gov.tr/raporlar/OzelDurumAciklamalar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EE2DFB6E-6E27-45B7-AD21-0167641EBEC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415</Words>
  <Characters>2369</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Emeklilik Gozetim Merkezi</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SPK</dc:creator>
  <cp:lastModifiedBy>Bahattin ÖZKAN</cp:lastModifiedBy>
  <cp:revision>6</cp:revision>
  <dcterms:created xsi:type="dcterms:W3CDTF">2023-02-16T08:36:00Z</dcterms:created>
  <dcterms:modified xsi:type="dcterms:W3CDTF">2023-02-17T09:35:00Z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2023-02-08T00:00:00Z</vt:filetime>
  </property>
  <property fmtid="{D5CDD505-2E9C-101B-9397-08002B2CF9AE}" pid="3" name="Creator">
    <vt:lpwstr>ABBYY FineReader 14</vt:lpwstr>
  </property>
  <property fmtid="{D5CDD505-2E9C-101B-9397-08002B2CF9AE}" pid="4" name="LastSaved">
    <vt:filetime>2023-02-16T00:00:00Z</vt:filetime>
  </property>
  <property fmtid="{D5CDD505-2E9C-101B-9397-08002B2CF9AE}" pid="5" name="docIndexRef">
    <vt:lpwstr>7b069b3c-4b88-482c-81fd-375aaf5f2cf9</vt:lpwstr>
  </property>
  <property fmtid="{D5CDD505-2E9C-101B-9397-08002B2CF9AE}" pid="6" name="bjSaver">
    <vt:lpwstr>iZryUG4O9W7v4YkSJ4oIH8Eo71bnL+pl</vt:lpwstr>
  </property>
  <property fmtid="{D5CDD505-2E9C-101B-9397-08002B2CF9AE}" pid="7" name="bjClsUserRVM">
    <vt:lpwstr>[]</vt:lpwstr>
  </property>
  <property fmtid="{D5CDD505-2E9C-101B-9397-08002B2CF9AE}" pid="8"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9" name="bjDocumentLabelXML-0">
    <vt:lpwstr>ames.com/2008/01/sie/internal/label"&gt;&lt;element uid="16f479a6-fc80-474c-ab11-d67f073bb2c9" value="" /&gt;&lt;/sisl&gt;</vt:lpwstr>
  </property>
  <property fmtid="{D5CDD505-2E9C-101B-9397-08002B2CF9AE}" pid="10" name="bjDocumentSecurityLabel">
    <vt:lpwstr>Bu iletinin sınıflandırması Genel</vt:lpwstr>
  </property>
  <property fmtid="{D5CDD505-2E9C-101B-9397-08002B2CF9AE}" pid="11" name="bjFooterBothDocProperty">
    <vt:lpwstr>Sınıflandırma|Genel</vt:lpwstr>
  </property>
  <property fmtid="{D5CDD505-2E9C-101B-9397-08002B2CF9AE}" pid="12" name="bjFooterFirstPageDocProperty">
    <vt:lpwstr>Sınıflandırma|Genel</vt:lpwstr>
  </property>
  <property fmtid="{D5CDD505-2E9C-101B-9397-08002B2CF9AE}" pid="13" name="bjFooterEvenPageDocProperty">
    <vt:lpwstr>Sınıflandırma|Genel</vt:lpwstr>
  </property>
</Properties>
</file>