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FEE4" w14:textId="77777777" w:rsidR="006854DE" w:rsidRPr="001D7EEF" w:rsidRDefault="006854DE" w:rsidP="006854DE">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452716BE" w14:textId="1F9A031F" w:rsidR="006854DE" w:rsidRPr="000E3656" w:rsidRDefault="00354A98" w:rsidP="00354A98">
      <w:pPr>
        <w:widowControl w:val="0"/>
        <w:autoSpaceDE w:val="0"/>
        <w:autoSpaceDN w:val="0"/>
        <w:adjustRightInd w:val="0"/>
        <w:spacing w:after="0" w:line="240" w:lineRule="auto"/>
        <w:ind w:left="170" w:right="170"/>
        <w:rPr>
          <w:b/>
          <w:bCs/>
          <w:sz w:val="20"/>
          <w:u w:val="single"/>
        </w:rPr>
      </w:pPr>
      <w:r w:rsidRPr="00354A98">
        <w:rPr>
          <w:b/>
          <w:bCs/>
          <w:sz w:val="20"/>
          <w:u w:val="single"/>
        </w:rPr>
        <w:t>Sigortacılık ve Özel Emeklilik Düzenleme ve Denetleme Kurumundan</w:t>
      </w:r>
      <w:r>
        <w:rPr>
          <w:b/>
          <w:bCs/>
          <w:sz w:val="20"/>
          <w:u w:val="single"/>
        </w:rPr>
        <w:tab/>
      </w:r>
      <w:r w:rsidR="000E3656">
        <w:rPr>
          <w:b/>
          <w:bCs/>
          <w:sz w:val="20"/>
        </w:rPr>
        <w:tab/>
      </w:r>
      <w:r>
        <w:rPr>
          <w:b/>
          <w:bCs/>
          <w:sz w:val="20"/>
          <w:u w:val="single"/>
        </w:rPr>
        <w:t>0</w:t>
      </w:r>
      <w:r w:rsidR="00796995">
        <w:rPr>
          <w:b/>
          <w:bCs/>
          <w:sz w:val="20"/>
          <w:u w:val="single"/>
        </w:rPr>
        <w:t>5</w:t>
      </w:r>
      <w:r w:rsidR="000E3656">
        <w:rPr>
          <w:b/>
          <w:bCs/>
          <w:sz w:val="20"/>
          <w:u w:val="single"/>
        </w:rPr>
        <w:t>.0</w:t>
      </w:r>
      <w:r w:rsidR="00796995">
        <w:rPr>
          <w:b/>
          <w:bCs/>
          <w:sz w:val="20"/>
          <w:u w:val="single"/>
        </w:rPr>
        <w:t>1</w:t>
      </w:r>
      <w:r w:rsidR="000E3656">
        <w:rPr>
          <w:b/>
          <w:bCs/>
          <w:sz w:val="20"/>
          <w:u w:val="single"/>
        </w:rPr>
        <w:t>.20</w:t>
      </w:r>
      <w:r>
        <w:rPr>
          <w:b/>
          <w:bCs/>
          <w:sz w:val="20"/>
          <w:u w:val="single"/>
        </w:rPr>
        <w:t>24</w:t>
      </w:r>
    </w:p>
    <w:p w14:paraId="07A04D6B" w14:textId="77777777" w:rsidR="00CD5880" w:rsidRPr="00DB777E" w:rsidRDefault="00CD5880" w:rsidP="006854DE">
      <w:pPr>
        <w:widowControl w:val="0"/>
        <w:autoSpaceDE w:val="0"/>
        <w:autoSpaceDN w:val="0"/>
        <w:adjustRightInd w:val="0"/>
        <w:spacing w:after="0" w:line="240" w:lineRule="auto"/>
        <w:ind w:left="170" w:right="170"/>
        <w:rPr>
          <w:b/>
          <w:bCs/>
          <w:sz w:val="20"/>
          <w:u w:val="single"/>
        </w:rPr>
      </w:pPr>
    </w:p>
    <w:p w14:paraId="03A32C6D" w14:textId="7249B2E4" w:rsidR="00CD5880" w:rsidRDefault="00354A98" w:rsidP="00491D7E">
      <w:pPr>
        <w:spacing w:after="0"/>
        <w:jc w:val="center"/>
      </w:pPr>
      <w:r w:rsidRPr="00354A98">
        <w:rPr>
          <w:b/>
          <w:sz w:val="24"/>
          <w:szCs w:val="24"/>
        </w:rPr>
        <w:t>TÜRKİYE FİNANSAL RAPORLAMA STANDARTI 17 (TFRS 17) KAPSAMINDA SUNULACAK RAPORLARA İLİŞKİN GENELGE</w:t>
      </w:r>
      <w:r>
        <w:rPr>
          <w:b/>
          <w:sz w:val="24"/>
          <w:szCs w:val="24"/>
        </w:rPr>
        <w:t xml:space="preserve"> </w:t>
      </w:r>
      <w:r w:rsidRPr="00354A98">
        <w:rPr>
          <w:b/>
          <w:sz w:val="24"/>
          <w:szCs w:val="24"/>
        </w:rPr>
        <w:t>(2024/1)</w:t>
      </w:r>
    </w:p>
    <w:p w14:paraId="25EC0E97" w14:textId="77777777" w:rsidR="00CD5880" w:rsidRPr="00CD5880" w:rsidRDefault="00CD5880" w:rsidP="00CD5880">
      <w:pPr>
        <w:spacing w:after="0"/>
      </w:pPr>
    </w:p>
    <w:p w14:paraId="23417704" w14:textId="77777777" w:rsidR="00491D7E" w:rsidRDefault="00491D7E" w:rsidP="00491D7E">
      <w:pPr>
        <w:widowControl w:val="0"/>
        <w:spacing w:after="0"/>
        <w:ind w:left="170" w:right="170"/>
        <w:jc w:val="both"/>
        <w:rPr>
          <w:rFonts w:eastAsiaTheme="minorHAnsi"/>
          <w:color w:val="000000"/>
          <w:kern w:val="16"/>
          <w:sz w:val="20"/>
          <w:lang w:eastAsia="en-US"/>
        </w:rPr>
      </w:pPr>
    </w:p>
    <w:p w14:paraId="41FC6AB5" w14:textId="77777777" w:rsidR="00491D7E" w:rsidRPr="00796995" w:rsidRDefault="00491D7E" w:rsidP="00796995">
      <w:pPr>
        <w:widowControl w:val="0"/>
        <w:spacing w:after="0"/>
        <w:ind w:left="170" w:right="170"/>
        <w:jc w:val="both"/>
        <w:rPr>
          <w:rFonts w:eastAsiaTheme="minorHAnsi"/>
          <w:b/>
          <w:color w:val="000000"/>
          <w:kern w:val="16"/>
          <w:sz w:val="20"/>
          <w:lang w:eastAsia="en-US"/>
        </w:rPr>
      </w:pPr>
      <w:r w:rsidRPr="00796995">
        <w:rPr>
          <w:rFonts w:eastAsiaTheme="minorHAnsi"/>
          <w:b/>
          <w:color w:val="000000"/>
          <w:kern w:val="16"/>
          <w:sz w:val="20"/>
          <w:lang w:eastAsia="en-US"/>
        </w:rPr>
        <w:t>Amaç</w:t>
      </w:r>
    </w:p>
    <w:p w14:paraId="0B96809E" w14:textId="63134E81" w:rsidR="00491D7E" w:rsidRPr="00796995" w:rsidRDefault="00491D7E" w:rsidP="00796995">
      <w:pPr>
        <w:widowControl w:val="0"/>
        <w:spacing w:after="0"/>
        <w:ind w:left="170" w:right="170"/>
        <w:jc w:val="both"/>
        <w:rPr>
          <w:rFonts w:eastAsiaTheme="minorHAnsi"/>
          <w:color w:val="000000"/>
          <w:kern w:val="16"/>
          <w:sz w:val="20"/>
          <w:lang w:eastAsia="en-US"/>
        </w:rPr>
      </w:pPr>
      <w:r w:rsidRPr="00796995">
        <w:rPr>
          <w:rFonts w:eastAsiaTheme="minorHAnsi"/>
          <w:b/>
          <w:color w:val="000000"/>
          <w:kern w:val="16"/>
          <w:sz w:val="20"/>
          <w:lang w:eastAsia="en-US"/>
        </w:rPr>
        <w:t>MADDE 1-</w:t>
      </w:r>
      <w:r w:rsidRPr="00796995">
        <w:rPr>
          <w:rFonts w:eastAsiaTheme="minorHAnsi"/>
          <w:color w:val="000000"/>
          <w:kern w:val="16"/>
          <w:sz w:val="20"/>
          <w:lang w:eastAsia="en-US"/>
        </w:rPr>
        <w:t xml:space="preserve"> (1) Bu Genelgenin amacı, sigorta ve reasürans ile emeklilik şirketleri tarafından TFRS 17 Sigorta Sözleşmeleri Standardı kapsamında 2024 yılı mali tablolarına ilişkin sunulacak finansal tablolar ile bunların dipnot ve açıklamalarına ilişkin içeriğin belirlenmesidir.</w:t>
      </w:r>
    </w:p>
    <w:p w14:paraId="76B783E0" w14:textId="77777777" w:rsidR="00491D7E" w:rsidRPr="00796995" w:rsidRDefault="00491D7E" w:rsidP="00796995">
      <w:pPr>
        <w:widowControl w:val="0"/>
        <w:spacing w:after="0"/>
        <w:ind w:left="170" w:right="170"/>
        <w:jc w:val="both"/>
        <w:rPr>
          <w:rFonts w:eastAsiaTheme="minorHAnsi"/>
          <w:color w:val="000000"/>
          <w:kern w:val="16"/>
          <w:sz w:val="20"/>
          <w:lang w:eastAsia="en-US"/>
        </w:rPr>
      </w:pPr>
    </w:p>
    <w:p w14:paraId="27D0DF3A" w14:textId="77777777" w:rsidR="00491D7E" w:rsidRPr="00796995" w:rsidRDefault="00491D7E" w:rsidP="00796995">
      <w:pPr>
        <w:widowControl w:val="0"/>
        <w:spacing w:after="0"/>
        <w:ind w:left="170" w:right="170"/>
        <w:jc w:val="both"/>
        <w:rPr>
          <w:rFonts w:eastAsiaTheme="minorHAnsi"/>
          <w:color w:val="000000"/>
          <w:kern w:val="16"/>
          <w:sz w:val="20"/>
          <w:lang w:eastAsia="en-US"/>
        </w:rPr>
      </w:pPr>
      <w:r w:rsidRPr="00796995">
        <w:rPr>
          <w:rFonts w:eastAsiaTheme="minorHAnsi"/>
          <w:b/>
          <w:color w:val="000000"/>
          <w:kern w:val="16"/>
          <w:sz w:val="20"/>
          <w:lang w:eastAsia="en-US"/>
        </w:rPr>
        <w:t>MADDE 2-</w:t>
      </w:r>
      <w:r w:rsidRPr="00796995">
        <w:rPr>
          <w:rFonts w:eastAsiaTheme="minorHAnsi"/>
          <w:color w:val="000000"/>
          <w:kern w:val="16"/>
          <w:sz w:val="20"/>
          <w:lang w:eastAsia="en-US"/>
        </w:rPr>
        <w:t>(1) Bu Genelge, 3/6/2007 tarihli ve 5684 sayılı Sigortacılık Kanununun 18 inci maddesinin birinci fıkrası ile 28/3/2001 tarihli ve 4632 sayılı Bireysel Emeklilik Tasarruf ve Yatırım Sistemi Kanununun 11 inci maddesine ve 14/7/2007 tarih ve 26582 sayılı Sigorta ve Reasürans Şirketleri ile Emeklilik Şirketlerinin Finansal Raporlamaları Hakkında Yönetmelik ile 1/10/2023 tarih ve 32326 sayılı Resmi Gazete'de yayımlanan Sigorta ve Reasürans ile Emeklilik Şirketlerinin Finansal Tablolarının Sunumu Hakkında Tebliğine dayanılarak hazırlanmıştır.</w:t>
      </w:r>
    </w:p>
    <w:p w14:paraId="131085E5" w14:textId="77777777" w:rsidR="00491D7E" w:rsidRPr="00796995" w:rsidRDefault="00491D7E" w:rsidP="00796995">
      <w:pPr>
        <w:widowControl w:val="0"/>
        <w:spacing w:after="0"/>
        <w:ind w:left="170" w:right="170"/>
        <w:jc w:val="both"/>
        <w:rPr>
          <w:rFonts w:eastAsiaTheme="minorHAnsi"/>
          <w:color w:val="000000"/>
          <w:kern w:val="16"/>
          <w:sz w:val="20"/>
          <w:lang w:eastAsia="en-US"/>
        </w:rPr>
      </w:pPr>
    </w:p>
    <w:p w14:paraId="7BED6327" w14:textId="77777777" w:rsidR="00491D7E" w:rsidRPr="00796995" w:rsidRDefault="00491D7E" w:rsidP="00796995">
      <w:pPr>
        <w:widowControl w:val="0"/>
        <w:spacing w:after="0"/>
        <w:ind w:left="170" w:right="170"/>
        <w:jc w:val="both"/>
        <w:rPr>
          <w:rFonts w:eastAsiaTheme="minorHAnsi"/>
          <w:b/>
          <w:color w:val="000000"/>
          <w:kern w:val="16"/>
          <w:sz w:val="20"/>
          <w:lang w:eastAsia="en-US"/>
        </w:rPr>
      </w:pPr>
      <w:r w:rsidRPr="00796995">
        <w:rPr>
          <w:rFonts w:eastAsiaTheme="minorHAnsi"/>
          <w:b/>
          <w:color w:val="000000"/>
          <w:kern w:val="16"/>
          <w:sz w:val="20"/>
          <w:lang w:eastAsia="en-US"/>
        </w:rPr>
        <w:t>TFRS 17 Kapsamında Yapılacak Raporlamalar</w:t>
      </w:r>
    </w:p>
    <w:p w14:paraId="5D01BB83" w14:textId="77777777" w:rsidR="00491D7E" w:rsidRPr="00796995" w:rsidRDefault="00491D7E" w:rsidP="00796995">
      <w:pPr>
        <w:widowControl w:val="0"/>
        <w:spacing w:after="0"/>
        <w:ind w:left="170" w:right="170"/>
        <w:jc w:val="both"/>
        <w:rPr>
          <w:rFonts w:eastAsiaTheme="minorHAnsi"/>
          <w:color w:val="000000"/>
          <w:kern w:val="16"/>
          <w:sz w:val="20"/>
          <w:lang w:eastAsia="en-US"/>
        </w:rPr>
      </w:pPr>
      <w:r w:rsidRPr="00796995">
        <w:rPr>
          <w:rFonts w:eastAsiaTheme="minorHAnsi"/>
          <w:b/>
          <w:color w:val="000000"/>
          <w:kern w:val="16"/>
          <w:sz w:val="20"/>
          <w:lang w:eastAsia="en-US"/>
        </w:rPr>
        <w:t xml:space="preserve">MADDE 3- </w:t>
      </w:r>
      <w:r w:rsidRPr="00796995">
        <w:rPr>
          <w:rFonts w:eastAsiaTheme="minorHAnsi"/>
          <w:color w:val="000000"/>
          <w:kern w:val="16"/>
          <w:sz w:val="20"/>
          <w:lang w:eastAsia="en-US"/>
        </w:rPr>
        <w:t>(1) Sigorta ve reasürans ile emeklilik şirketleri 2024 yılı itibarıyla 1/10/2023 tarih ve 32326 sayılı Resmi Gazete'de yayımlanan Sigorta ve Reasürans ile Emeklilik Şirketlerinin Finansal Tablolarının Sunumu Hakkında Tebliği ekindeki finansal tabloları ve dipnotları aşağıda belirtilen esaslar dahilinde Kuruma göndermek zorundadır.</w:t>
      </w:r>
    </w:p>
    <w:p w14:paraId="2683839B" w14:textId="77777777" w:rsidR="00491D7E" w:rsidRPr="00796995" w:rsidRDefault="00491D7E" w:rsidP="00796995">
      <w:pPr>
        <w:widowControl w:val="0"/>
        <w:spacing w:after="0"/>
        <w:ind w:left="170" w:right="170"/>
        <w:jc w:val="both"/>
        <w:rPr>
          <w:rFonts w:eastAsiaTheme="minorHAnsi"/>
          <w:color w:val="000000"/>
          <w:kern w:val="16"/>
          <w:sz w:val="20"/>
          <w:lang w:eastAsia="en-US"/>
        </w:rPr>
      </w:pPr>
    </w:p>
    <w:p w14:paraId="38E9D4F5" w14:textId="68198CBE" w:rsidR="00491D7E" w:rsidRPr="00796995" w:rsidRDefault="00491D7E" w:rsidP="00796995">
      <w:pPr>
        <w:widowControl w:val="0"/>
        <w:spacing w:after="0"/>
        <w:ind w:left="170" w:right="170"/>
        <w:jc w:val="both"/>
        <w:rPr>
          <w:rFonts w:eastAsiaTheme="minorHAnsi"/>
          <w:color w:val="000000"/>
          <w:kern w:val="16"/>
          <w:sz w:val="20"/>
          <w:lang w:eastAsia="en-US"/>
        </w:rPr>
      </w:pPr>
      <w:r w:rsidRPr="00796995">
        <w:rPr>
          <w:rFonts w:eastAsiaTheme="minorHAnsi"/>
          <w:color w:val="000000"/>
          <w:kern w:val="16"/>
          <w:sz w:val="20"/>
          <w:lang w:eastAsia="en-US"/>
        </w:rPr>
        <w:t>a)</w:t>
      </w:r>
      <w:r w:rsidRPr="00796995">
        <w:rPr>
          <w:rFonts w:eastAsiaTheme="minorHAnsi"/>
          <w:color w:val="000000"/>
          <w:kern w:val="16"/>
          <w:sz w:val="20"/>
          <w:lang w:eastAsia="en-US"/>
        </w:rPr>
        <w:tab/>
        <w:t>İlk üç aylık döneme ilişkin bilanço ve gelir tablosu ile aşağıda belirtilen dipnotlar 2024 yılı</w:t>
      </w:r>
      <w:r w:rsidR="00796995" w:rsidRPr="00796995">
        <w:rPr>
          <w:rFonts w:eastAsiaTheme="minorHAnsi"/>
          <w:color w:val="000000"/>
          <w:kern w:val="16"/>
          <w:sz w:val="20"/>
          <w:lang w:eastAsia="en-US"/>
        </w:rPr>
        <w:t xml:space="preserve"> </w:t>
      </w:r>
      <w:r w:rsidRPr="00796995">
        <w:rPr>
          <w:rFonts w:eastAsiaTheme="minorHAnsi"/>
          <w:color w:val="000000"/>
          <w:kern w:val="16"/>
          <w:sz w:val="20"/>
          <w:lang w:eastAsia="en-US"/>
        </w:rPr>
        <w:t>Haziran ayı sonuna kadar Kuruma elektronik ortamda gönderilir.</w:t>
      </w:r>
    </w:p>
    <w:p w14:paraId="50B061EC" w14:textId="77777777" w:rsidR="00491D7E" w:rsidRPr="00796995" w:rsidRDefault="00491D7E" w:rsidP="00796995">
      <w:pPr>
        <w:widowControl w:val="0"/>
        <w:spacing w:after="0"/>
        <w:ind w:left="170" w:right="170"/>
        <w:jc w:val="both"/>
        <w:rPr>
          <w:rFonts w:eastAsiaTheme="minorHAnsi"/>
          <w:color w:val="000000"/>
          <w:kern w:val="16"/>
          <w:sz w:val="20"/>
          <w:lang w:eastAsia="en-US"/>
        </w:rPr>
      </w:pPr>
    </w:p>
    <w:tbl>
      <w:tblPr>
        <w:tblStyle w:val="TableNormal"/>
        <w:tblW w:w="8816" w:type="dxa"/>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4"/>
        <w:gridCol w:w="7512"/>
      </w:tblGrid>
      <w:tr w:rsidR="00796995" w:rsidRPr="00796995" w14:paraId="76EC7F7F" w14:textId="77777777" w:rsidTr="003B5137">
        <w:trPr>
          <w:trHeight w:val="215"/>
        </w:trPr>
        <w:tc>
          <w:tcPr>
            <w:tcW w:w="1304" w:type="dxa"/>
          </w:tcPr>
          <w:p w14:paraId="0D755318" w14:textId="77777777" w:rsidR="00796995" w:rsidRPr="00796995" w:rsidRDefault="00796995" w:rsidP="00796995">
            <w:pPr>
              <w:pStyle w:val="TableParagraph"/>
              <w:spacing w:before="7" w:line="276" w:lineRule="auto"/>
              <w:ind w:left="126"/>
              <w:jc w:val="both"/>
              <w:rPr>
                <w:rFonts w:ascii="Arial" w:hAnsi="Arial" w:cs="Arial"/>
                <w:sz w:val="20"/>
                <w:szCs w:val="20"/>
                <w:lang w:val="tr-TR"/>
              </w:rPr>
            </w:pPr>
            <w:r w:rsidRPr="00796995">
              <w:rPr>
                <w:rFonts w:ascii="Arial" w:hAnsi="Arial" w:cs="Arial"/>
                <w:color w:val="2B2B2B"/>
                <w:spacing w:val="-2"/>
                <w:sz w:val="20"/>
                <w:szCs w:val="20"/>
                <w:lang w:val="tr-TR"/>
              </w:rPr>
              <w:t>Dipnot</w:t>
            </w:r>
          </w:p>
        </w:tc>
        <w:tc>
          <w:tcPr>
            <w:tcW w:w="7512" w:type="dxa"/>
          </w:tcPr>
          <w:p w14:paraId="69016E2C" w14:textId="77777777" w:rsidR="00796995" w:rsidRPr="00796995" w:rsidRDefault="00796995" w:rsidP="00796995">
            <w:pPr>
              <w:pStyle w:val="TableParagraph"/>
              <w:spacing w:before="3" w:line="276" w:lineRule="auto"/>
              <w:ind w:left="118" w:right="82" w:firstLine="13"/>
              <w:jc w:val="both"/>
              <w:rPr>
                <w:rFonts w:ascii="Arial" w:hAnsi="Arial" w:cs="Arial"/>
                <w:sz w:val="20"/>
                <w:szCs w:val="20"/>
                <w:lang w:val="tr-TR"/>
              </w:rPr>
            </w:pPr>
            <w:r w:rsidRPr="00796995">
              <w:rPr>
                <w:rFonts w:ascii="Arial" w:hAnsi="Arial" w:cs="Arial"/>
                <w:color w:val="2B2B2B"/>
                <w:sz w:val="20"/>
                <w:szCs w:val="20"/>
                <w:lang w:val="tr-TR"/>
              </w:rPr>
              <w:t>Açıklama</w:t>
            </w:r>
          </w:p>
        </w:tc>
      </w:tr>
      <w:tr w:rsidR="00796995" w:rsidRPr="00796995" w14:paraId="6309DA89" w14:textId="77777777" w:rsidTr="003B5137">
        <w:trPr>
          <w:trHeight w:val="225"/>
        </w:trPr>
        <w:tc>
          <w:tcPr>
            <w:tcW w:w="1304" w:type="dxa"/>
          </w:tcPr>
          <w:p w14:paraId="69E43274" w14:textId="77777777" w:rsidR="00796995" w:rsidRPr="00796995" w:rsidRDefault="00796995" w:rsidP="00796995">
            <w:pPr>
              <w:pStyle w:val="TableParagraph"/>
              <w:spacing w:before="21" w:line="276" w:lineRule="auto"/>
              <w:ind w:left="120"/>
              <w:jc w:val="both"/>
              <w:rPr>
                <w:rFonts w:ascii="Arial" w:hAnsi="Arial" w:cs="Arial"/>
                <w:sz w:val="20"/>
                <w:szCs w:val="20"/>
                <w:lang w:val="tr-TR"/>
              </w:rPr>
            </w:pPr>
            <w:r w:rsidRPr="00796995">
              <w:rPr>
                <w:rFonts w:ascii="Arial" w:hAnsi="Arial" w:cs="Arial"/>
                <w:color w:val="3F3F3F"/>
                <w:spacing w:val="-2"/>
                <w:w w:val="105"/>
                <w:sz w:val="20"/>
                <w:szCs w:val="20"/>
                <w:lang w:val="tr-TR"/>
              </w:rPr>
              <w:t>2.13</w:t>
            </w:r>
            <w:r w:rsidRPr="00796995">
              <w:rPr>
                <w:rFonts w:ascii="Arial" w:hAnsi="Arial" w:cs="Arial"/>
                <w:color w:val="6B6B6B"/>
                <w:spacing w:val="-2"/>
                <w:w w:val="105"/>
                <w:sz w:val="20"/>
                <w:szCs w:val="20"/>
                <w:lang w:val="tr-TR"/>
              </w:rPr>
              <w:t>.</w:t>
            </w:r>
            <w:r w:rsidRPr="00796995">
              <w:rPr>
                <w:rFonts w:ascii="Arial" w:hAnsi="Arial" w:cs="Arial"/>
                <w:color w:val="3F3F3F"/>
                <w:spacing w:val="-2"/>
                <w:w w:val="105"/>
                <w:sz w:val="20"/>
                <w:szCs w:val="20"/>
                <w:lang w:val="tr-TR"/>
              </w:rPr>
              <w:t>5</w:t>
            </w:r>
          </w:p>
        </w:tc>
        <w:tc>
          <w:tcPr>
            <w:tcW w:w="7512" w:type="dxa"/>
          </w:tcPr>
          <w:p w14:paraId="72708E23" w14:textId="77777777" w:rsidR="00796995" w:rsidRPr="00796995" w:rsidRDefault="00796995" w:rsidP="00796995">
            <w:pPr>
              <w:pStyle w:val="TableParagraph"/>
              <w:spacing w:before="3" w:line="276" w:lineRule="auto"/>
              <w:ind w:left="118" w:right="82" w:firstLine="13"/>
              <w:jc w:val="both"/>
              <w:rPr>
                <w:rFonts w:ascii="Arial" w:hAnsi="Arial" w:cs="Arial"/>
                <w:color w:val="2B2B2B"/>
                <w:sz w:val="20"/>
                <w:szCs w:val="20"/>
                <w:lang w:val="tr-TR"/>
              </w:rPr>
            </w:pPr>
            <w:r w:rsidRPr="00796995">
              <w:rPr>
                <w:rFonts w:ascii="Arial" w:hAnsi="Arial" w:cs="Arial"/>
                <w:color w:val="2B2B2B"/>
                <w:sz w:val="20"/>
                <w:szCs w:val="20"/>
                <w:lang w:val="tr-TR"/>
              </w:rPr>
              <w:t>Toplulaştırma düzeyi</w:t>
            </w:r>
          </w:p>
        </w:tc>
      </w:tr>
      <w:tr w:rsidR="00796995" w:rsidRPr="00796995" w14:paraId="494F4F2E" w14:textId="77777777" w:rsidTr="003B5137">
        <w:trPr>
          <w:trHeight w:val="215"/>
        </w:trPr>
        <w:tc>
          <w:tcPr>
            <w:tcW w:w="1304" w:type="dxa"/>
          </w:tcPr>
          <w:p w14:paraId="0C11A37F" w14:textId="40825622" w:rsidR="00796995" w:rsidRPr="00796995" w:rsidRDefault="00796995" w:rsidP="00796995">
            <w:pPr>
              <w:pStyle w:val="TableParagraph"/>
              <w:spacing w:before="12" w:line="276" w:lineRule="auto"/>
              <w:ind w:left="120"/>
              <w:jc w:val="both"/>
              <w:rPr>
                <w:rFonts w:ascii="Arial" w:hAnsi="Arial" w:cs="Arial"/>
                <w:sz w:val="20"/>
                <w:szCs w:val="20"/>
                <w:lang w:val="tr-TR"/>
              </w:rPr>
            </w:pPr>
            <w:r w:rsidRPr="00796995">
              <w:rPr>
                <w:rFonts w:ascii="Arial" w:hAnsi="Arial" w:cs="Arial"/>
                <w:color w:val="3F3F3F"/>
                <w:spacing w:val="-2"/>
                <w:w w:val="115"/>
                <w:sz w:val="20"/>
                <w:szCs w:val="20"/>
                <w:lang w:val="tr-TR"/>
              </w:rPr>
              <w:t>2.13.1</w:t>
            </w:r>
            <w:r w:rsidRPr="00796995">
              <w:rPr>
                <w:rFonts w:ascii="Arial" w:hAnsi="Arial" w:cs="Arial"/>
                <w:color w:val="161616"/>
                <w:spacing w:val="-2"/>
                <w:w w:val="115"/>
                <w:sz w:val="20"/>
                <w:szCs w:val="20"/>
                <w:lang w:val="tr-TR"/>
              </w:rPr>
              <w:t>1</w:t>
            </w:r>
            <w:r>
              <w:rPr>
                <w:rFonts w:ascii="Arial" w:hAnsi="Arial" w:cs="Arial"/>
                <w:color w:val="161616"/>
                <w:spacing w:val="-2"/>
                <w:w w:val="115"/>
                <w:sz w:val="20"/>
                <w:szCs w:val="20"/>
                <w:lang w:val="tr-TR"/>
              </w:rPr>
              <w:t>.</w:t>
            </w:r>
            <w:r w:rsidRPr="00796995">
              <w:rPr>
                <w:rFonts w:ascii="Arial" w:hAnsi="Arial" w:cs="Arial"/>
                <w:color w:val="3F3F3F"/>
                <w:spacing w:val="-2"/>
                <w:w w:val="115"/>
                <w:sz w:val="20"/>
                <w:szCs w:val="20"/>
                <w:lang w:val="tr-TR"/>
              </w:rPr>
              <w:t>2.1</w:t>
            </w:r>
          </w:p>
        </w:tc>
        <w:tc>
          <w:tcPr>
            <w:tcW w:w="7512" w:type="dxa"/>
          </w:tcPr>
          <w:p w14:paraId="1BB9FDEE" w14:textId="77777777" w:rsidR="00796995" w:rsidRPr="00796995" w:rsidRDefault="00796995" w:rsidP="00796995">
            <w:pPr>
              <w:pStyle w:val="TableParagraph"/>
              <w:spacing w:before="3" w:line="276" w:lineRule="auto"/>
              <w:ind w:left="118" w:right="82" w:firstLine="13"/>
              <w:jc w:val="both"/>
              <w:rPr>
                <w:rFonts w:ascii="Arial" w:hAnsi="Arial" w:cs="Arial"/>
                <w:sz w:val="20"/>
                <w:szCs w:val="20"/>
                <w:lang w:val="tr-TR"/>
              </w:rPr>
            </w:pPr>
            <w:r w:rsidRPr="00796995">
              <w:rPr>
                <w:rFonts w:ascii="Arial" w:hAnsi="Arial" w:cs="Arial"/>
                <w:color w:val="2B2B2B"/>
                <w:sz w:val="20"/>
                <w:szCs w:val="20"/>
                <w:lang w:val="tr-TR"/>
              </w:rPr>
              <w:t>Hangi sözleşmelerin prim dağıtım yaklaşımı kullanılarak ölçüldüğüne ilişkin açıklama</w:t>
            </w:r>
          </w:p>
        </w:tc>
      </w:tr>
      <w:tr w:rsidR="00796995" w:rsidRPr="00796995" w14:paraId="56BF9498" w14:textId="77777777" w:rsidTr="003B5137">
        <w:trPr>
          <w:trHeight w:val="215"/>
        </w:trPr>
        <w:tc>
          <w:tcPr>
            <w:tcW w:w="1304" w:type="dxa"/>
          </w:tcPr>
          <w:p w14:paraId="029D68A3" w14:textId="77777777" w:rsidR="00796995" w:rsidRPr="00796995" w:rsidRDefault="00796995" w:rsidP="00796995">
            <w:pPr>
              <w:pStyle w:val="TableParagraph"/>
              <w:spacing w:before="16" w:line="276" w:lineRule="auto"/>
              <w:ind w:left="116"/>
              <w:jc w:val="both"/>
              <w:rPr>
                <w:rFonts w:ascii="Arial" w:hAnsi="Arial" w:cs="Arial"/>
                <w:sz w:val="20"/>
                <w:szCs w:val="20"/>
                <w:lang w:val="tr-TR"/>
              </w:rPr>
            </w:pPr>
            <w:r w:rsidRPr="00796995">
              <w:rPr>
                <w:rFonts w:ascii="Arial" w:hAnsi="Arial" w:cs="Arial"/>
                <w:color w:val="3F3F3F"/>
                <w:spacing w:val="-2"/>
                <w:w w:val="105"/>
                <w:sz w:val="20"/>
                <w:szCs w:val="20"/>
                <w:lang w:val="tr-TR"/>
              </w:rPr>
              <w:t>2.13.1</w:t>
            </w:r>
            <w:r w:rsidRPr="00796995">
              <w:rPr>
                <w:rFonts w:ascii="Arial" w:hAnsi="Arial" w:cs="Arial"/>
                <w:color w:val="161616"/>
                <w:spacing w:val="-2"/>
                <w:w w:val="105"/>
                <w:sz w:val="20"/>
                <w:szCs w:val="20"/>
                <w:lang w:val="tr-TR"/>
              </w:rPr>
              <w:t>1</w:t>
            </w:r>
            <w:r w:rsidRPr="00796995">
              <w:rPr>
                <w:rFonts w:ascii="Arial" w:hAnsi="Arial" w:cs="Arial"/>
                <w:color w:val="3F3F3F"/>
                <w:spacing w:val="-2"/>
                <w:w w:val="105"/>
                <w:sz w:val="20"/>
                <w:szCs w:val="20"/>
                <w:lang w:val="tr-TR"/>
              </w:rPr>
              <w:t>.2.2</w:t>
            </w:r>
          </w:p>
        </w:tc>
        <w:tc>
          <w:tcPr>
            <w:tcW w:w="7512" w:type="dxa"/>
          </w:tcPr>
          <w:p w14:paraId="6BC3EF48" w14:textId="77777777" w:rsidR="00796995" w:rsidRPr="00796995" w:rsidRDefault="00796995" w:rsidP="00796995">
            <w:pPr>
              <w:pStyle w:val="TableParagraph"/>
              <w:spacing w:before="3" w:line="276" w:lineRule="auto"/>
              <w:ind w:left="118" w:right="82" w:firstLine="13"/>
              <w:jc w:val="both"/>
              <w:rPr>
                <w:rFonts w:ascii="Arial" w:hAnsi="Arial" w:cs="Arial"/>
                <w:sz w:val="20"/>
                <w:szCs w:val="20"/>
                <w:lang w:val="tr-TR"/>
              </w:rPr>
            </w:pPr>
            <w:r w:rsidRPr="00796995">
              <w:rPr>
                <w:rFonts w:ascii="Arial" w:hAnsi="Arial" w:cs="Arial"/>
                <w:color w:val="2B2B2B"/>
                <w:sz w:val="20"/>
                <w:szCs w:val="20"/>
                <w:lang w:val="tr-TR"/>
              </w:rPr>
              <w:t>Prim dağıtım yaklaşımı ile ölçülen sözleşmelerin uygunluk kriterlerinin ne olduğuna ilişkin açıklama</w:t>
            </w:r>
          </w:p>
        </w:tc>
      </w:tr>
      <w:tr w:rsidR="00796995" w:rsidRPr="00796995" w14:paraId="6885ECFF" w14:textId="77777777" w:rsidTr="003B5137">
        <w:trPr>
          <w:trHeight w:val="902"/>
        </w:trPr>
        <w:tc>
          <w:tcPr>
            <w:tcW w:w="1304" w:type="dxa"/>
          </w:tcPr>
          <w:p w14:paraId="0EB46A4E" w14:textId="77777777" w:rsidR="00796995" w:rsidRPr="00796995" w:rsidRDefault="00796995" w:rsidP="00796995">
            <w:pPr>
              <w:pStyle w:val="TableParagraph"/>
              <w:spacing w:before="26" w:line="276" w:lineRule="auto"/>
              <w:jc w:val="both"/>
              <w:rPr>
                <w:rFonts w:ascii="Arial" w:hAnsi="Arial" w:cs="Arial"/>
                <w:sz w:val="20"/>
                <w:szCs w:val="20"/>
                <w:lang w:val="tr-TR"/>
              </w:rPr>
            </w:pPr>
            <w:r w:rsidRPr="00796995">
              <w:rPr>
                <w:rFonts w:ascii="Arial" w:hAnsi="Arial" w:cs="Arial"/>
                <w:color w:val="3F3F3F"/>
                <w:spacing w:val="-2"/>
                <w:w w:val="105"/>
                <w:sz w:val="20"/>
                <w:szCs w:val="20"/>
                <w:lang w:val="tr-TR"/>
              </w:rPr>
              <w:t>3.3.2.9</w:t>
            </w:r>
          </w:p>
        </w:tc>
        <w:tc>
          <w:tcPr>
            <w:tcW w:w="7512" w:type="dxa"/>
          </w:tcPr>
          <w:p w14:paraId="3A5EF912" w14:textId="77777777" w:rsidR="00796995" w:rsidRPr="00796995" w:rsidRDefault="00796995" w:rsidP="00796995">
            <w:pPr>
              <w:pStyle w:val="TableParagraph"/>
              <w:spacing w:before="3" w:line="276" w:lineRule="auto"/>
              <w:ind w:left="118" w:right="82" w:firstLine="13"/>
              <w:jc w:val="both"/>
              <w:rPr>
                <w:rFonts w:ascii="Arial" w:hAnsi="Arial" w:cs="Arial"/>
                <w:sz w:val="20"/>
                <w:szCs w:val="20"/>
                <w:lang w:val="tr-TR"/>
              </w:rPr>
            </w:pPr>
            <w:r w:rsidRPr="00796995">
              <w:rPr>
                <w:rFonts w:ascii="Arial" w:hAnsi="Arial" w:cs="Arial"/>
                <w:color w:val="2B2B2B"/>
                <w:sz w:val="20"/>
                <w:szCs w:val="20"/>
                <w:lang w:val="tr-TR"/>
              </w:rPr>
              <w:t>Finansal olmayan riske ilişkin risk düzeltmesini belirlemede kullanılan güven aralığına ilişkin açıklama. Finansal olmayan riske ilişkin risk düzeltmesini belirlemede güven aralığı tekniği dışında bir teknik kullanılması durumunda kullanılan teknik ve bu tekniğin sonuçlarına karşılık gelen güven aralığına ilişkin açıklama</w:t>
            </w:r>
          </w:p>
        </w:tc>
      </w:tr>
      <w:tr w:rsidR="00796995" w:rsidRPr="00796995" w14:paraId="4A078165" w14:textId="77777777" w:rsidTr="003B5137">
        <w:trPr>
          <w:trHeight w:val="888"/>
        </w:trPr>
        <w:tc>
          <w:tcPr>
            <w:tcW w:w="1304" w:type="dxa"/>
          </w:tcPr>
          <w:p w14:paraId="74E1DB15" w14:textId="2D0C8B10" w:rsidR="00796995" w:rsidRPr="00796995" w:rsidRDefault="00796995" w:rsidP="00796995">
            <w:pPr>
              <w:pStyle w:val="TableParagraph"/>
              <w:spacing w:before="21" w:line="276" w:lineRule="auto"/>
              <w:jc w:val="both"/>
              <w:rPr>
                <w:rFonts w:ascii="Arial" w:hAnsi="Arial" w:cs="Arial"/>
                <w:sz w:val="20"/>
                <w:szCs w:val="20"/>
                <w:lang w:val="tr-TR"/>
              </w:rPr>
            </w:pPr>
            <w:r w:rsidRPr="00796995">
              <w:rPr>
                <w:rFonts w:ascii="Arial" w:hAnsi="Arial" w:cs="Arial"/>
                <w:color w:val="3F3F3F"/>
                <w:spacing w:val="-2"/>
                <w:w w:val="115"/>
                <w:sz w:val="20"/>
                <w:szCs w:val="20"/>
                <w:lang w:val="tr-TR"/>
              </w:rPr>
              <w:t>3.3</w:t>
            </w:r>
            <w:r>
              <w:rPr>
                <w:rFonts w:ascii="Arial" w:hAnsi="Arial" w:cs="Arial"/>
                <w:color w:val="3F3F3F"/>
                <w:spacing w:val="-2"/>
                <w:w w:val="115"/>
                <w:sz w:val="20"/>
                <w:szCs w:val="20"/>
                <w:lang w:val="tr-TR"/>
              </w:rPr>
              <w:t>.</w:t>
            </w:r>
            <w:r w:rsidRPr="00796995">
              <w:rPr>
                <w:rFonts w:ascii="Arial" w:hAnsi="Arial" w:cs="Arial"/>
                <w:color w:val="3F3F3F"/>
                <w:spacing w:val="-2"/>
                <w:w w:val="115"/>
                <w:sz w:val="20"/>
                <w:szCs w:val="20"/>
                <w:lang w:val="tr-TR"/>
              </w:rPr>
              <w:t>2.</w:t>
            </w:r>
            <w:r w:rsidRPr="00796995">
              <w:rPr>
                <w:rFonts w:ascii="Arial" w:hAnsi="Arial" w:cs="Arial"/>
                <w:color w:val="161616"/>
                <w:spacing w:val="-2"/>
                <w:w w:val="115"/>
                <w:sz w:val="20"/>
                <w:szCs w:val="20"/>
                <w:lang w:val="tr-TR"/>
              </w:rPr>
              <w:t>10</w:t>
            </w:r>
          </w:p>
        </w:tc>
        <w:tc>
          <w:tcPr>
            <w:tcW w:w="7512" w:type="dxa"/>
          </w:tcPr>
          <w:p w14:paraId="3FBCD36B" w14:textId="5ABA53F9" w:rsidR="00796995" w:rsidRPr="00796995" w:rsidRDefault="00796995" w:rsidP="00796995">
            <w:pPr>
              <w:pStyle w:val="TableParagraph"/>
              <w:spacing w:before="3" w:line="276" w:lineRule="auto"/>
              <w:ind w:left="118" w:right="82" w:firstLine="13"/>
              <w:jc w:val="both"/>
              <w:rPr>
                <w:rFonts w:ascii="Arial" w:hAnsi="Arial" w:cs="Arial"/>
                <w:sz w:val="20"/>
                <w:szCs w:val="20"/>
                <w:lang w:val="tr-TR"/>
              </w:rPr>
            </w:pPr>
            <w:r w:rsidRPr="00796995">
              <w:rPr>
                <w:rFonts w:ascii="Arial" w:hAnsi="Arial" w:cs="Arial"/>
                <w:color w:val="2B2B2B"/>
                <w:sz w:val="20"/>
                <w:szCs w:val="20"/>
                <w:lang w:val="tr-TR"/>
              </w:rPr>
              <w:t>Dayanak kalemlerin getirilerine bağlı olarak değişkenlik göstermeyen nakit akışlarını iskonto etmek için kullanılan getiri eğrisine (veya getiri eğrileri aralığı) ilişkin açıklama. Söz konusu açıklamanın birkaç sigorta sözleşmesi grubu için toplu olarak sunulması durumunda bu tür açıklamalar ağırlıklı</w:t>
            </w:r>
            <w:r w:rsidRPr="00796995">
              <w:rPr>
                <w:rFonts w:ascii="Arial" w:hAnsi="Arial" w:cs="Arial"/>
                <w:color w:val="2B2B2B"/>
                <w:sz w:val="20"/>
                <w:szCs w:val="20"/>
                <w:lang w:val="tr-TR"/>
              </w:rPr>
              <w:t xml:space="preserve"> </w:t>
            </w:r>
            <w:r w:rsidRPr="00796995">
              <w:rPr>
                <w:rFonts w:ascii="Arial" w:hAnsi="Arial" w:cs="Arial"/>
                <w:color w:val="2B2B2B"/>
                <w:sz w:val="20"/>
                <w:szCs w:val="20"/>
                <w:lang w:val="tr-TR"/>
              </w:rPr>
              <w:t>ortalamalar veya nispeten dar aralıklar biçiminde sağlanmalıdır</w:t>
            </w:r>
          </w:p>
        </w:tc>
      </w:tr>
      <w:tr w:rsidR="00796995" w:rsidRPr="00796995" w14:paraId="46D455A6" w14:textId="77777777" w:rsidTr="003B5137">
        <w:trPr>
          <w:trHeight w:val="225"/>
        </w:trPr>
        <w:tc>
          <w:tcPr>
            <w:tcW w:w="1304" w:type="dxa"/>
          </w:tcPr>
          <w:p w14:paraId="1CFBCB26" w14:textId="64BE1F12" w:rsidR="00796995" w:rsidRPr="00796995" w:rsidRDefault="00796995" w:rsidP="00796995">
            <w:pPr>
              <w:pStyle w:val="TableParagraph"/>
              <w:spacing w:before="21" w:line="276" w:lineRule="auto"/>
              <w:jc w:val="both"/>
              <w:rPr>
                <w:rFonts w:ascii="Arial" w:hAnsi="Arial" w:cs="Arial"/>
                <w:sz w:val="20"/>
                <w:szCs w:val="20"/>
                <w:lang w:val="tr-TR"/>
              </w:rPr>
            </w:pPr>
            <w:r w:rsidRPr="00796995">
              <w:rPr>
                <w:rFonts w:ascii="Arial" w:hAnsi="Arial" w:cs="Arial"/>
                <w:color w:val="3F3F3F"/>
                <w:spacing w:val="-2"/>
                <w:w w:val="105"/>
                <w:sz w:val="20"/>
                <w:szCs w:val="20"/>
                <w:lang w:val="tr-TR"/>
              </w:rPr>
              <w:t>3.</w:t>
            </w:r>
            <w:r>
              <w:rPr>
                <w:rFonts w:ascii="Arial" w:hAnsi="Arial" w:cs="Arial"/>
                <w:color w:val="3F3F3F"/>
                <w:spacing w:val="-2"/>
                <w:w w:val="105"/>
                <w:sz w:val="20"/>
                <w:szCs w:val="20"/>
                <w:lang w:val="tr-TR"/>
              </w:rPr>
              <w:t>3</w:t>
            </w:r>
            <w:r w:rsidRPr="00796995">
              <w:rPr>
                <w:rFonts w:ascii="Arial" w:hAnsi="Arial" w:cs="Arial"/>
                <w:color w:val="6B6B6B"/>
                <w:spacing w:val="-2"/>
                <w:w w:val="105"/>
                <w:sz w:val="20"/>
                <w:szCs w:val="20"/>
                <w:lang w:val="tr-TR"/>
              </w:rPr>
              <w:t>.</w:t>
            </w:r>
            <w:r w:rsidRPr="00796995">
              <w:rPr>
                <w:rFonts w:ascii="Arial" w:hAnsi="Arial" w:cs="Arial"/>
                <w:color w:val="2B2B2B"/>
                <w:spacing w:val="-2"/>
                <w:w w:val="105"/>
                <w:sz w:val="20"/>
                <w:szCs w:val="20"/>
                <w:lang w:val="tr-TR"/>
              </w:rPr>
              <w:t>1.7</w:t>
            </w:r>
          </w:p>
        </w:tc>
        <w:tc>
          <w:tcPr>
            <w:tcW w:w="7512" w:type="dxa"/>
          </w:tcPr>
          <w:p w14:paraId="02AD20EA" w14:textId="77777777" w:rsidR="00796995" w:rsidRPr="00796995" w:rsidRDefault="00796995" w:rsidP="00796995">
            <w:pPr>
              <w:pStyle w:val="TableParagraph"/>
              <w:spacing w:before="3" w:line="276" w:lineRule="auto"/>
              <w:ind w:left="118" w:right="82" w:firstLine="13"/>
              <w:jc w:val="both"/>
              <w:rPr>
                <w:rFonts w:ascii="Arial" w:hAnsi="Arial" w:cs="Arial"/>
                <w:sz w:val="20"/>
                <w:szCs w:val="20"/>
                <w:lang w:val="tr-TR"/>
              </w:rPr>
            </w:pPr>
            <w:r w:rsidRPr="00796995">
              <w:rPr>
                <w:rFonts w:ascii="Arial" w:hAnsi="Arial" w:cs="Arial"/>
                <w:color w:val="2B2B2B"/>
                <w:sz w:val="20"/>
                <w:szCs w:val="20"/>
                <w:lang w:val="tr-TR"/>
              </w:rPr>
              <w:t>Teminat birimlerinin tespitinde kullanılan önemli yargılar ve yöntemler</w:t>
            </w:r>
          </w:p>
        </w:tc>
      </w:tr>
      <w:tr w:rsidR="00796995" w:rsidRPr="00796995" w14:paraId="3F74822C" w14:textId="77777777" w:rsidTr="003B5137">
        <w:trPr>
          <w:trHeight w:val="215"/>
        </w:trPr>
        <w:tc>
          <w:tcPr>
            <w:tcW w:w="1304" w:type="dxa"/>
          </w:tcPr>
          <w:p w14:paraId="5AE69454" w14:textId="77777777" w:rsidR="00796995" w:rsidRPr="00796995" w:rsidRDefault="00796995" w:rsidP="00796995">
            <w:pPr>
              <w:pStyle w:val="TableParagraph"/>
              <w:spacing w:before="16" w:line="276" w:lineRule="auto"/>
              <w:ind w:left="127"/>
              <w:jc w:val="both"/>
              <w:rPr>
                <w:rFonts w:ascii="Arial" w:hAnsi="Arial" w:cs="Arial"/>
                <w:sz w:val="20"/>
                <w:szCs w:val="20"/>
                <w:lang w:val="tr-TR"/>
              </w:rPr>
            </w:pPr>
            <w:r w:rsidRPr="00796995">
              <w:rPr>
                <w:rFonts w:ascii="Arial" w:hAnsi="Arial" w:cs="Arial"/>
                <w:color w:val="2B2B2B"/>
                <w:spacing w:val="-2"/>
                <w:sz w:val="20"/>
                <w:szCs w:val="20"/>
                <w:lang w:val="tr-TR"/>
              </w:rPr>
              <w:t>16.8.1</w:t>
            </w:r>
          </w:p>
        </w:tc>
        <w:tc>
          <w:tcPr>
            <w:tcW w:w="7512" w:type="dxa"/>
          </w:tcPr>
          <w:p w14:paraId="5AD52EE2" w14:textId="77777777" w:rsidR="00796995" w:rsidRPr="00796995" w:rsidRDefault="00796995" w:rsidP="00796995">
            <w:pPr>
              <w:pStyle w:val="TableParagraph"/>
              <w:spacing w:before="3" w:line="276" w:lineRule="auto"/>
              <w:ind w:left="118" w:right="82" w:firstLine="13"/>
              <w:jc w:val="both"/>
              <w:rPr>
                <w:rFonts w:ascii="Arial" w:hAnsi="Arial" w:cs="Arial"/>
                <w:sz w:val="20"/>
                <w:szCs w:val="20"/>
                <w:lang w:val="tr-TR"/>
              </w:rPr>
            </w:pPr>
            <w:r w:rsidRPr="00796995">
              <w:rPr>
                <w:rFonts w:ascii="Arial" w:hAnsi="Arial" w:cs="Arial"/>
                <w:color w:val="2B2B2B"/>
                <w:sz w:val="20"/>
                <w:szCs w:val="20"/>
                <w:lang w:val="tr-TR"/>
              </w:rPr>
              <w:t>Sigorta sözleşmelerine ilişkin yükümlülüklerin hareket tablosu</w:t>
            </w:r>
          </w:p>
        </w:tc>
      </w:tr>
      <w:tr w:rsidR="00796995" w:rsidRPr="00796995" w14:paraId="12E40CF4" w14:textId="77777777" w:rsidTr="003B5137">
        <w:trPr>
          <w:trHeight w:val="446"/>
        </w:trPr>
        <w:tc>
          <w:tcPr>
            <w:tcW w:w="1304" w:type="dxa"/>
          </w:tcPr>
          <w:p w14:paraId="73B2A54D" w14:textId="77777777" w:rsidR="00796995" w:rsidRPr="00796995" w:rsidRDefault="00796995" w:rsidP="00796995">
            <w:pPr>
              <w:pStyle w:val="TableParagraph"/>
              <w:spacing w:before="16" w:line="276" w:lineRule="auto"/>
              <w:ind w:left="132"/>
              <w:jc w:val="both"/>
              <w:rPr>
                <w:rFonts w:ascii="Arial" w:hAnsi="Arial" w:cs="Arial"/>
                <w:sz w:val="20"/>
                <w:szCs w:val="20"/>
                <w:lang w:val="tr-TR"/>
              </w:rPr>
            </w:pPr>
            <w:r w:rsidRPr="00796995">
              <w:rPr>
                <w:rFonts w:ascii="Arial" w:hAnsi="Arial" w:cs="Arial"/>
                <w:color w:val="2B2B2B"/>
                <w:spacing w:val="-2"/>
                <w:w w:val="105"/>
                <w:sz w:val="20"/>
                <w:szCs w:val="20"/>
                <w:lang w:val="tr-TR"/>
              </w:rPr>
              <w:t>16.8.2</w:t>
            </w:r>
          </w:p>
        </w:tc>
        <w:tc>
          <w:tcPr>
            <w:tcW w:w="7512" w:type="dxa"/>
          </w:tcPr>
          <w:p w14:paraId="6D774020" w14:textId="265C2B14" w:rsidR="00796995" w:rsidRPr="00796995" w:rsidRDefault="00796995" w:rsidP="00796995">
            <w:pPr>
              <w:pStyle w:val="TableParagraph"/>
              <w:spacing w:before="3" w:line="276" w:lineRule="auto"/>
              <w:ind w:left="118" w:right="82" w:firstLine="13"/>
              <w:jc w:val="both"/>
              <w:rPr>
                <w:rFonts w:ascii="Arial" w:hAnsi="Arial" w:cs="Arial"/>
                <w:sz w:val="20"/>
                <w:szCs w:val="20"/>
                <w:lang w:val="tr-TR"/>
              </w:rPr>
            </w:pPr>
            <w:r w:rsidRPr="00796995">
              <w:rPr>
                <w:rFonts w:ascii="Arial" w:hAnsi="Arial" w:cs="Arial"/>
                <w:color w:val="2B2B2B"/>
                <w:sz w:val="20"/>
                <w:szCs w:val="20"/>
                <w:lang w:val="tr-TR"/>
              </w:rPr>
              <w:t>Sigorta sözleşmelerine ilişkin yükümlülük bileşenleri hareket tablosu (Prim dağıtımı yaklaşımı ile</w:t>
            </w:r>
            <w:r w:rsidRPr="00796995">
              <w:rPr>
                <w:rFonts w:ascii="Arial" w:hAnsi="Arial" w:cs="Arial"/>
                <w:color w:val="2B2B2B"/>
                <w:sz w:val="20"/>
                <w:szCs w:val="20"/>
                <w:lang w:val="tr-TR"/>
              </w:rPr>
              <w:t xml:space="preserve"> </w:t>
            </w:r>
            <w:r w:rsidRPr="00796995">
              <w:rPr>
                <w:rFonts w:ascii="Arial" w:hAnsi="Arial" w:cs="Arial"/>
                <w:color w:val="2B2B2B"/>
                <w:sz w:val="20"/>
                <w:szCs w:val="20"/>
                <w:lang w:val="tr-TR"/>
              </w:rPr>
              <w:t>ölçülen sözleşmeler hariç)</w:t>
            </w:r>
          </w:p>
        </w:tc>
      </w:tr>
      <w:tr w:rsidR="00796995" w:rsidRPr="00796995" w14:paraId="1BA09D91" w14:textId="77777777" w:rsidTr="003B5137">
        <w:trPr>
          <w:trHeight w:val="215"/>
        </w:trPr>
        <w:tc>
          <w:tcPr>
            <w:tcW w:w="1304" w:type="dxa"/>
          </w:tcPr>
          <w:p w14:paraId="51D1B3E6" w14:textId="77777777" w:rsidR="00796995" w:rsidRPr="00796995" w:rsidRDefault="00796995" w:rsidP="00796995">
            <w:pPr>
              <w:pStyle w:val="TableParagraph"/>
              <w:spacing w:before="21" w:line="276" w:lineRule="auto"/>
              <w:ind w:left="132"/>
              <w:jc w:val="both"/>
              <w:rPr>
                <w:rFonts w:ascii="Arial" w:hAnsi="Arial" w:cs="Arial"/>
                <w:sz w:val="20"/>
                <w:szCs w:val="20"/>
                <w:lang w:val="tr-TR"/>
              </w:rPr>
            </w:pPr>
            <w:r w:rsidRPr="00796995">
              <w:rPr>
                <w:rFonts w:ascii="Arial" w:hAnsi="Arial" w:cs="Arial"/>
                <w:color w:val="161616"/>
                <w:spacing w:val="-4"/>
                <w:w w:val="110"/>
                <w:sz w:val="20"/>
                <w:szCs w:val="20"/>
                <w:lang w:val="tr-TR"/>
              </w:rPr>
              <w:t>1</w:t>
            </w:r>
            <w:r w:rsidRPr="00796995">
              <w:rPr>
                <w:rFonts w:ascii="Arial" w:hAnsi="Arial" w:cs="Arial"/>
                <w:color w:val="3F3F3F"/>
                <w:spacing w:val="-4"/>
                <w:w w:val="110"/>
                <w:sz w:val="20"/>
                <w:szCs w:val="20"/>
                <w:lang w:val="tr-TR"/>
              </w:rPr>
              <w:t>7.</w:t>
            </w:r>
            <w:r w:rsidRPr="00796995">
              <w:rPr>
                <w:rFonts w:ascii="Arial" w:hAnsi="Arial" w:cs="Arial"/>
                <w:color w:val="161616"/>
                <w:spacing w:val="-4"/>
                <w:w w:val="110"/>
                <w:sz w:val="20"/>
                <w:szCs w:val="20"/>
                <w:lang w:val="tr-TR"/>
              </w:rPr>
              <w:t>1</w:t>
            </w:r>
          </w:p>
        </w:tc>
        <w:tc>
          <w:tcPr>
            <w:tcW w:w="7512" w:type="dxa"/>
          </w:tcPr>
          <w:p w14:paraId="74EF4E6D" w14:textId="77777777" w:rsidR="00796995" w:rsidRPr="00796995" w:rsidRDefault="00796995" w:rsidP="00796995">
            <w:pPr>
              <w:pStyle w:val="TableParagraph"/>
              <w:spacing w:before="3" w:line="276" w:lineRule="auto"/>
              <w:ind w:left="118" w:right="82" w:firstLine="13"/>
              <w:jc w:val="both"/>
              <w:rPr>
                <w:rFonts w:ascii="Arial" w:hAnsi="Arial" w:cs="Arial"/>
                <w:color w:val="2B2B2B"/>
                <w:sz w:val="20"/>
                <w:szCs w:val="20"/>
                <w:lang w:val="tr-TR"/>
              </w:rPr>
            </w:pPr>
            <w:r w:rsidRPr="00796995">
              <w:rPr>
                <w:rFonts w:ascii="Arial" w:hAnsi="Arial" w:cs="Arial"/>
                <w:color w:val="2B2B2B"/>
                <w:sz w:val="20"/>
                <w:szCs w:val="20"/>
                <w:lang w:val="tr-TR"/>
              </w:rPr>
              <w:t>Elde tutulan reasürans sözleşmelerine ilişkin varlıklar (yükümlülükler) hareket tablosu</w:t>
            </w:r>
          </w:p>
        </w:tc>
      </w:tr>
      <w:tr w:rsidR="00796995" w:rsidRPr="00796995" w14:paraId="03AC843C" w14:textId="77777777" w:rsidTr="003B5137">
        <w:trPr>
          <w:trHeight w:val="446"/>
        </w:trPr>
        <w:tc>
          <w:tcPr>
            <w:tcW w:w="1304" w:type="dxa"/>
          </w:tcPr>
          <w:p w14:paraId="7BC981CA" w14:textId="77777777" w:rsidR="00796995" w:rsidRPr="00796995" w:rsidRDefault="00796995" w:rsidP="00796995">
            <w:pPr>
              <w:pStyle w:val="TableParagraph"/>
              <w:spacing w:before="16" w:line="276" w:lineRule="auto"/>
              <w:ind w:left="137"/>
              <w:jc w:val="both"/>
              <w:rPr>
                <w:rFonts w:ascii="Arial" w:hAnsi="Arial" w:cs="Arial"/>
                <w:sz w:val="20"/>
                <w:szCs w:val="20"/>
                <w:lang w:val="tr-TR"/>
              </w:rPr>
            </w:pPr>
            <w:r w:rsidRPr="00796995">
              <w:rPr>
                <w:rFonts w:ascii="Arial" w:hAnsi="Arial" w:cs="Arial"/>
                <w:color w:val="161616"/>
                <w:spacing w:val="-4"/>
                <w:sz w:val="20"/>
                <w:szCs w:val="20"/>
                <w:lang w:val="tr-TR"/>
              </w:rPr>
              <w:t>1</w:t>
            </w:r>
            <w:r w:rsidRPr="00796995">
              <w:rPr>
                <w:rFonts w:ascii="Arial" w:hAnsi="Arial" w:cs="Arial"/>
                <w:color w:val="3F3F3F"/>
                <w:spacing w:val="-4"/>
                <w:sz w:val="20"/>
                <w:szCs w:val="20"/>
                <w:lang w:val="tr-TR"/>
              </w:rPr>
              <w:t>7.2</w:t>
            </w:r>
          </w:p>
        </w:tc>
        <w:tc>
          <w:tcPr>
            <w:tcW w:w="7512" w:type="dxa"/>
          </w:tcPr>
          <w:p w14:paraId="1822A1F9" w14:textId="0514E44D" w:rsidR="00796995" w:rsidRPr="00796995" w:rsidRDefault="00796995" w:rsidP="00796995">
            <w:pPr>
              <w:pStyle w:val="TableParagraph"/>
              <w:spacing w:before="3" w:line="276" w:lineRule="auto"/>
              <w:ind w:left="118" w:right="82" w:firstLine="13"/>
              <w:jc w:val="both"/>
              <w:rPr>
                <w:rFonts w:ascii="Arial" w:hAnsi="Arial" w:cs="Arial"/>
                <w:color w:val="2B2B2B"/>
                <w:sz w:val="20"/>
                <w:szCs w:val="20"/>
                <w:lang w:val="tr-TR"/>
              </w:rPr>
            </w:pPr>
            <w:r w:rsidRPr="00796995">
              <w:rPr>
                <w:rFonts w:ascii="Arial" w:hAnsi="Arial" w:cs="Arial"/>
                <w:color w:val="2B2B2B"/>
                <w:sz w:val="20"/>
                <w:szCs w:val="20"/>
                <w:lang w:val="tr-TR"/>
              </w:rPr>
              <w:t xml:space="preserve">Elde tutulan reasürans sözleşmelerine ilişkin varlıklar (yükümlülükler) bileşenleri </w:t>
            </w:r>
            <w:r w:rsidRPr="00796995">
              <w:rPr>
                <w:rFonts w:ascii="Arial" w:hAnsi="Arial" w:cs="Arial"/>
                <w:color w:val="2B2B2B"/>
                <w:sz w:val="20"/>
                <w:szCs w:val="20"/>
                <w:lang w:val="tr-TR"/>
              </w:rPr>
              <w:lastRenderedPageBreak/>
              <w:t>hareket tablosu</w:t>
            </w:r>
            <w:r w:rsidRPr="00796995">
              <w:rPr>
                <w:rFonts w:ascii="Arial" w:hAnsi="Arial" w:cs="Arial"/>
                <w:color w:val="2B2B2B"/>
                <w:sz w:val="20"/>
                <w:szCs w:val="20"/>
                <w:lang w:val="tr-TR"/>
              </w:rPr>
              <w:t xml:space="preserve"> </w:t>
            </w:r>
            <w:r w:rsidRPr="00796995">
              <w:rPr>
                <w:rFonts w:ascii="Arial" w:hAnsi="Arial" w:cs="Arial"/>
                <w:color w:val="2B2B2B"/>
                <w:sz w:val="20"/>
                <w:szCs w:val="20"/>
                <w:lang w:val="tr-TR"/>
              </w:rPr>
              <w:t>(Prim dağıtımı yaklaşımı ile ölçülen sözleşmeler hariç)</w:t>
            </w:r>
          </w:p>
        </w:tc>
      </w:tr>
      <w:tr w:rsidR="00796995" w:rsidRPr="00796995" w14:paraId="37614131" w14:textId="77777777" w:rsidTr="003B5137">
        <w:trPr>
          <w:trHeight w:val="215"/>
        </w:trPr>
        <w:tc>
          <w:tcPr>
            <w:tcW w:w="1304" w:type="dxa"/>
          </w:tcPr>
          <w:p w14:paraId="0C599CCF" w14:textId="77777777" w:rsidR="00796995" w:rsidRPr="00796995" w:rsidRDefault="00796995" w:rsidP="00796995">
            <w:pPr>
              <w:pStyle w:val="TableParagraph"/>
              <w:spacing w:before="26" w:line="276" w:lineRule="auto"/>
              <w:ind w:left="137"/>
              <w:jc w:val="both"/>
              <w:rPr>
                <w:rFonts w:ascii="Arial" w:hAnsi="Arial" w:cs="Arial"/>
                <w:sz w:val="20"/>
                <w:szCs w:val="20"/>
                <w:lang w:val="tr-TR"/>
              </w:rPr>
            </w:pPr>
            <w:r w:rsidRPr="00796995">
              <w:rPr>
                <w:rFonts w:ascii="Arial" w:hAnsi="Arial" w:cs="Arial"/>
                <w:color w:val="161616"/>
                <w:spacing w:val="-5"/>
                <w:sz w:val="20"/>
                <w:szCs w:val="20"/>
                <w:lang w:val="tr-TR"/>
              </w:rPr>
              <w:lastRenderedPageBreak/>
              <w:t>18</w:t>
            </w:r>
          </w:p>
        </w:tc>
        <w:tc>
          <w:tcPr>
            <w:tcW w:w="7512" w:type="dxa"/>
          </w:tcPr>
          <w:p w14:paraId="64E16EB7" w14:textId="0D870CA8" w:rsidR="00796995" w:rsidRPr="00796995" w:rsidRDefault="00796995" w:rsidP="00796995">
            <w:pPr>
              <w:pStyle w:val="TableParagraph"/>
              <w:spacing w:before="3" w:line="276" w:lineRule="auto"/>
              <w:ind w:left="118" w:right="82" w:firstLine="13"/>
              <w:jc w:val="both"/>
              <w:rPr>
                <w:rFonts w:ascii="Arial" w:hAnsi="Arial" w:cs="Arial"/>
                <w:sz w:val="20"/>
                <w:szCs w:val="20"/>
                <w:lang w:val="tr-TR"/>
              </w:rPr>
            </w:pPr>
            <w:r w:rsidRPr="00796995">
              <w:rPr>
                <w:rFonts w:ascii="Arial" w:hAnsi="Arial" w:cs="Arial"/>
                <w:color w:val="2B2B2B"/>
                <w:sz w:val="20"/>
                <w:szCs w:val="20"/>
                <w:lang w:val="tr-TR"/>
              </w:rPr>
              <w:t>Sigorta Hizmet Sonucu ve Elde Tutulan Reasürans Sözleşmelerinden Kaynaklanan Net Gelir (Gider)</w:t>
            </w:r>
          </w:p>
        </w:tc>
      </w:tr>
    </w:tbl>
    <w:p w14:paraId="664FD69A" w14:textId="794B207B" w:rsidR="00491D7E" w:rsidRPr="00796995" w:rsidRDefault="00491D7E" w:rsidP="00796995">
      <w:pPr>
        <w:widowControl w:val="0"/>
        <w:spacing w:after="0"/>
        <w:ind w:left="170" w:right="170"/>
        <w:jc w:val="both"/>
        <w:rPr>
          <w:rFonts w:eastAsiaTheme="minorHAnsi"/>
          <w:color w:val="000000"/>
          <w:kern w:val="16"/>
          <w:sz w:val="20"/>
          <w:lang w:eastAsia="en-US"/>
        </w:rPr>
      </w:pPr>
    </w:p>
    <w:p w14:paraId="522A157B" w14:textId="764E5DCB" w:rsidR="00491D7E" w:rsidRPr="0010660D" w:rsidRDefault="0010660D" w:rsidP="00796995">
      <w:pPr>
        <w:widowControl w:val="0"/>
        <w:spacing w:after="0"/>
        <w:ind w:left="170" w:right="170"/>
        <w:jc w:val="both"/>
        <w:rPr>
          <w:sz w:val="20"/>
        </w:rPr>
      </w:pPr>
      <w:r w:rsidRPr="0010660D">
        <w:rPr>
          <w:sz w:val="20"/>
        </w:rPr>
        <w:t>b)</w:t>
      </w:r>
      <w:r w:rsidRPr="0010660D">
        <w:rPr>
          <w:sz w:val="20"/>
        </w:rPr>
        <w:tab/>
        <w:t>Altı aylık döneme ilişkin (a) bendinde sayılan dipnotlara ilave olarak aşağıda belirtilen dipnotlar 2024 yılı Eylül ayı sonuna kadar Kuruma elektronik ortamda gönderilir.</w:t>
      </w:r>
    </w:p>
    <w:p w14:paraId="3E7A3404" w14:textId="712A574A" w:rsidR="00491D7E" w:rsidRPr="00796995" w:rsidRDefault="00491D7E" w:rsidP="00796995">
      <w:pPr>
        <w:widowControl w:val="0"/>
        <w:spacing w:after="0"/>
        <w:ind w:left="170" w:right="170"/>
        <w:jc w:val="both"/>
        <w:rPr>
          <w:b/>
          <w:sz w:val="20"/>
        </w:rPr>
      </w:pPr>
    </w:p>
    <w:tbl>
      <w:tblPr>
        <w:tblStyle w:val="TableNormal"/>
        <w:tblW w:w="878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3"/>
        <w:gridCol w:w="7855"/>
      </w:tblGrid>
      <w:tr w:rsidR="0010660D" w:rsidRPr="00F74740" w14:paraId="2F1C664A" w14:textId="77777777" w:rsidTr="003B5137">
        <w:trPr>
          <w:trHeight w:val="220"/>
        </w:trPr>
        <w:tc>
          <w:tcPr>
            <w:tcW w:w="933" w:type="dxa"/>
          </w:tcPr>
          <w:p w14:paraId="49B6708F" w14:textId="77777777" w:rsidR="0010660D" w:rsidRPr="0010660D" w:rsidRDefault="0010660D" w:rsidP="008979CB">
            <w:pPr>
              <w:pStyle w:val="TableParagraph"/>
              <w:spacing w:before="0" w:line="276" w:lineRule="auto"/>
              <w:ind w:left="126"/>
              <w:rPr>
                <w:rFonts w:ascii="Arial" w:hAnsi="Arial" w:cs="Arial"/>
                <w:sz w:val="20"/>
                <w:szCs w:val="20"/>
                <w:lang w:val="tr-TR"/>
              </w:rPr>
            </w:pPr>
            <w:r w:rsidRPr="0010660D">
              <w:rPr>
                <w:rFonts w:ascii="Arial" w:hAnsi="Arial" w:cs="Arial"/>
                <w:color w:val="212121"/>
                <w:spacing w:val="-2"/>
                <w:sz w:val="20"/>
                <w:szCs w:val="20"/>
                <w:lang w:val="tr-TR"/>
              </w:rPr>
              <w:t>Dipnot</w:t>
            </w:r>
          </w:p>
        </w:tc>
        <w:tc>
          <w:tcPr>
            <w:tcW w:w="7855" w:type="dxa"/>
          </w:tcPr>
          <w:p w14:paraId="7708FE9B" w14:textId="77777777" w:rsidR="0010660D" w:rsidRPr="0010660D" w:rsidRDefault="0010660D" w:rsidP="008979CB">
            <w:pPr>
              <w:pStyle w:val="TableParagraph"/>
              <w:spacing w:before="3" w:line="276" w:lineRule="auto"/>
              <w:ind w:left="128"/>
              <w:rPr>
                <w:rFonts w:ascii="Arial" w:hAnsi="Arial" w:cs="Arial"/>
                <w:sz w:val="20"/>
                <w:szCs w:val="20"/>
                <w:lang w:val="tr-TR"/>
              </w:rPr>
            </w:pPr>
            <w:r w:rsidRPr="0010660D">
              <w:rPr>
                <w:rFonts w:ascii="Arial" w:hAnsi="Arial" w:cs="Arial"/>
                <w:color w:val="363636"/>
                <w:spacing w:val="-2"/>
                <w:sz w:val="20"/>
                <w:szCs w:val="20"/>
                <w:lang w:val="tr-TR"/>
              </w:rPr>
              <w:t>Açıklama</w:t>
            </w:r>
          </w:p>
        </w:tc>
      </w:tr>
      <w:tr w:rsidR="0010660D" w:rsidRPr="00F74740" w14:paraId="020BD916" w14:textId="77777777" w:rsidTr="003B5137">
        <w:trPr>
          <w:trHeight w:val="446"/>
        </w:trPr>
        <w:tc>
          <w:tcPr>
            <w:tcW w:w="933" w:type="dxa"/>
          </w:tcPr>
          <w:p w14:paraId="6F8CE099" w14:textId="77777777" w:rsidR="0010660D" w:rsidRPr="0010660D" w:rsidRDefault="0010660D" w:rsidP="008979CB">
            <w:pPr>
              <w:pStyle w:val="TableParagraph"/>
              <w:spacing w:before="21" w:line="276" w:lineRule="auto"/>
              <w:ind w:left="112"/>
              <w:rPr>
                <w:rFonts w:ascii="Arial" w:hAnsi="Arial" w:cs="Arial"/>
                <w:sz w:val="20"/>
                <w:szCs w:val="20"/>
                <w:lang w:val="tr-TR"/>
              </w:rPr>
            </w:pPr>
            <w:r w:rsidRPr="0010660D">
              <w:rPr>
                <w:rFonts w:ascii="Arial" w:hAnsi="Arial" w:cs="Arial"/>
                <w:color w:val="363636"/>
                <w:spacing w:val="-2"/>
                <w:w w:val="105"/>
                <w:sz w:val="20"/>
                <w:szCs w:val="20"/>
                <w:lang w:val="tr-TR"/>
              </w:rPr>
              <w:t>4.3.1.2</w:t>
            </w:r>
          </w:p>
        </w:tc>
        <w:tc>
          <w:tcPr>
            <w:tcW w:w="7855" w:type="dxa"/>
          </w:tcPr>
          <w:p w14:paraId="0A9144DF" w14:textId="77777777" w:rsidR="0010660D" w:rsidRPr="0010660D" w:rsidRDefault="0010660D" w:rsidP="0010660D">
            <w:pPr>
              <w:pStyle w:val="TableParagraph"/>
              <w:spacing w:before="0" w:line="276" w:lineRule="auto"/>
              <w:ind w:left="120" w:right="96" w:firstLine="6"/>
              <w:jc w:val="both"/>
              <w:rPr>
                <w:rFonts w:ascii="Arial" w:hAnsi="Arial" w:cs="Arial"/>
                <w:sz w:val="20"/>
                <w:szCs w:val="20"/>
                <w:lang w:val="tr-TR"/>
              </w:rPr>
            </w:pPr>
            <w:r w:rsidRPr="0010660D">
              <w:rPr>
                <w:rFonts w:ascii="Arial" w:hAnsi="Arial" w:cs="Arial"/>
                <w:color w:val="363636"/>
                <w:sz w:val="20"/>
                <w:szCs w:val="20"/>
                <w:lang w:val="tr-TR"/>
              </w:rPr>
              <w:t>Finansal</w:t>
            </w:r>
            <w:r w:rsidRPr="0010660D">
              <w:rPr>
                <w:rFonts w:ascii="Arial" w:hAnsi="Arial" w:cs="Arial"/>
                <w:color w:val="363636"/>
                <w:spacing w:val="9"/>
                <w:sz w:val="20"/>
                <w:szCs w:val="20"/>
                <w:lang w:val="tr-TR"/>
              </w:rPr>
              <w:t xml:space="preserve"> </w:t>
            </w:r>
            <w:r w:rsidRPr="0010660D">
              <w:rPr>
                <w:rFonts w:ascii="Arial" w:hAnsi="Arial" w:cs="Arial"/>
                <w:color w:val="363636"/>
                <w:sz w:val="20"/>
                <w:szCs w:val="20"/>
                <w:lang w:val="tr-TR"/>
              </w:rPr>
              <w:t>tablo</w:t>
            </w:r>
            <w:r w:rsidRPr="0010660D">
              <w:rPr>
                <w:rFonts w:ascii="Arial" w:hAnsi="Arial" w:cs="Arial"/>
                <w:color w:val="0C0C0C"/>
                <w:sz w:val="20"/>
                <w:szCs w:val="20"/>
                <w:lang w:val="tr-TR"/>
              </w:rPr>
              <w:t>l</w:t>
            </w:r>
            <w:r w:rsidRPr="0010660D">
              <w:rPr>
                <w:rFonts w:ascii="Arial" w:hAnsi="Arial" w:cs="Arial"/>
                <w:color w:val="363636"/>
                <w:sz w:val="20"/>
                <w:szCs w:val="20"/>
                <w:lang w:val="tr-TR"/>
              </w:rPr>
              <w:t>ar</w:t>
            </w:r>
            <w:r w:rsidRPr="0010660D">
              <w:rPr>
                <w:rFonts w:ascii="Arial" w:hAnsi="Arial" w:cs="Arial"/>
                <w:color w:val="363636"/>
                <w:spacing w:val="-11"/>
                <w:sz w:val="20"/>
                <w:szCs w:val="20"/>
                <w:lang w:val="tr-TR"/>
              </w:rPr>
              <w:t xml:space="preserve"> </w:t>
            </w:r>
            <w:r w:rsidRPr="0010660D">
              <w:rPr>
                <w:rFonts w:ascii="Arial" w:hAnsi="Arial" w:cs="Arial"/>
                <w:color w:val="212121"/>
                <w:sz w:val="20"/>
                <w:szCs w:val="20"/>
                <w:lang w:val="tr-TR"/>
              </w:rPr>
              <w:t>üzerinde</w:t>
            </w:r>
            <w:r w:rsidRPr="0010660D">
              <w:rPr>
                <w:rFonts w:ascii="Arial" w:hAnsi="Arial" w:cs="Arial"/>
                <w:color w:val="212121"/>
                <w:spacing w:val="-7"/>
                <w:sz w:val="20"/>
                <w:szCs w:val="20"/>
                <w:lang w:val="tr-TR"/>
              </w:rPr>
              <w:t xml:space="preserve"> </w:t>
            </w:r>
            <w:r w:rsidRPr="0010660D">
              <w:rPr>
                <w:rFonts w:ascii="Arial" w:hAnsi="Arial" w:cs="Arial"/>
                <w:color w:val="363636"/>
                <w:sz w:val="20"/>
                <w:szCs w:val="20"/>
                <w:lang w:val="tr-TR"/>
              </w:rPr>
              <w:t>önemli etkiye</w:t>
            </w:r>
            <w:r w:rsidRPr="0010660D">
              <w:rPr>
                <w:rFonts w:ascii="Arial" w:hAnsi="Arial" w:cs="Arial"/>
                <w:color w:val="363636"/>
                <w:spacing w:val="-4"/>
                <w:sz w:val="20"/>
                <w:szCs w:val="20"/>
                <w:lang w:val="tr-TR"/>
              </w:rPr>
              <w:t xml:space="preserve"> </w:t>
            </w:r>
            <w:r w:rsidRPr="0010660D">
              <w:rPr>
                <w:rFonts w:ascii="Arial" w:hAnsi="Arial" w:cs="Arial"/>
                <w:color w:val="363636"/>
                <w:sz w:val="20"/>
                <w:szCs w:val="20"/>
                <w:lang w:val="tr-TR"/>
              </w:rPr>
              <w:t>sahip</w:t>
            </w:r>
            <w:r w:rsidRPr="0010660D">
              <w:rPr>
                <w:rFonts w:ascii="Arial" w:hAnsi="Arial" w:cs="Arial"/>
                <w:color w:val="363636"/>
                <w:spacing w:val="-3"/>
                <w:sz w:val="20"/>
                <w:szCs w:val="20"/>
                <w:lang w:val="tr-TR"/>
              </w:rPr>
              <w:t xml:space="preserve"> </w:t>
            </w:r>
            <w:r w:rsidRPr="0010660D">
              <w:rPr>
                <w:rFonts w:ascii="Arial" w:hAnsi="Arial" w:cs="Arial"/>
                <w:color w:val="363636"/>
                <w:sz w:val="20"/>
                <w:szCs w:val="20"/>
                <w:lang w:val="tr-TR"/>
              </w:rPr>
              <w:t>olan</w:t>
            </w:r>
            <w:r w:rsidRPr="0010660D">
              <w:rPr>
                <w:rFonts w:ascii="Arial" w:hAnsi="Arial" w:cs="Arial"/>
                <w:color w:val="363636"/>
                <w:spacing w:val="3"/>
                <w:sz w:val="20"/>
                <w:szCs w:val="20"/>
                <w:lang w:val="tr-TR"/>
              </w:rPr>
              <w:t xml:space="preserve"> </w:t>
            </w:r>
            <w:r w:rsidRPr="0010660D">
              <w:rPr>
                <w:rFonts w:ascii="Arial" w:hAnsi="Arial" w:cs="Arial"/>
                <w:color w:val="212121"/>
                <w:sz w:val="20"/>
                <w:szCs w:val="20"/>
                <w:lang w:val="tr-TR"/>
              </w:rPr>
              <w:t>her</w:t>
            </w:r>
            <w:r w:rsidRPr="0010660D">
              <w:rPr>
                <w:rFonts w:ascii="Arial" w:hAnsi="Arial" w:cs="Arial"/>
                <w:color w:val="212121"/>
                <w:spacing w:val="-7"/>
                <w:sz w:val="20"/>
                <w:szCs w:val="20"/>
                <w:lang w:val="tr-TR"/>
              </w:rPr>
              <w:t xml:space="preserve"> </w:t>
            </w:r>
            <w:r w:rsidRPr="0010660D">
              <w:rPr>
                <w:rFonts w:ascii="Arial" w:hAnsi="Arial" w:cs="Arial"/>
                <w:color w:val="212121"/>
                <w:sz w:val="20"/>
                <w:szCs w:val="20"/>
                <w:lang w:val="tr-TR"/>
              </w:rPr>
              <w:t>de</w:t>
            </w:r>
            <w:r w:rsidRPr="0010660D">
              <w:rPr>
                <w:rFonts w:ascii="Arial" w:hAnsi="Arial" w:cs="Arial"/>
                <w:color w:val="4B4B4B"/>
                <w:sz w:val="20"/>
                <w:szCs w:val="20"/>
                <w:lang w:val="tr-TR"/>
              </w:rPr>
              <w:t>ğ</w:t>
            </w:r>
            <w:r w:rsidRPr="0010660D">
              <w:rPr>
                <w:rFonts w:ascii="Arial" w:hAnsi="Arial" w:cs="Arial"/>
                <w:color w:val="212121"/>
                <w:sz w:val="20"/>
                <w:szCs w:val="20"/>
                <w:lang w:val="tr-TR"/>
              </w:rPr>
              <w:t>i</w:t>
            </w:r>
            <w:r w:rsidRPr="0010660D">
              <w:rPr>
                <w:rFonts w:ascii="Arial" w:hAnsi="Arial" w:cs="Arial"/>
                <w:color w:val="4B4B4B"/>
                <w:sz w:val="20"/>
                <w:szCs w:val="20"/>
                <w:lang w:val="tr-TR"/>
              </w:rPr>
              <w:t>şikl</w:t>
            </w:r>
            <w:r w:rsidRPr="0010660D">
              <w:rPr>
                <w:rFonts w:ascii="Arial" w:hAnsi="Arial" w:cs="Arial"/>
                <w:color w:val="212121"/>
                <w:sz w:val="20"/>
                <w:szCs w:val="20"/>
                <w:lang w:val="tr-TR"/>
              </w:rPr>
              <w:t>iğin</w:t>
            </w:r>
            <w:r w:rsidRPr="0010660D">
              <w:rPr>
                <w:rFonts w:ascii="Arial" w:hAnsi="Arial" w:cs="Arial"/>
                <w:color w:val="212121"/>
                <w:spacing w:val="-12"/>
                <w:sz w:val="20"/>
                <w:szCs w:val="20"/>
                <w:lang w:val="tr-TR"/>
              </w:rPr>
              <w:t xml:space="preserve"> </w:t>
            </w:r>
            <w:r w:rsidRPr="0010660D">
              <w:rPr>
                <w:rFonts w:ascii="Arial" w:hAnsi="Arial" w:cs="Arial"/>
                <w:color w:val="363636"/>
                <w:sz w:val="20"/>
                <w:szCs w:val="20"/>
                <w:lang w:val="tr-TR"/>
              </w:rPr>
              <w:t>etkisini</w:t>
            </w:r>
            <w:r w:rsidRPr="0010660D">
              <w:rPr>
                <w:rFonts w:ascii="Arial" w:hAnsi="Arial" w:cs="Arial"/>
                <w:color w:val="363636"/>
                <w:spacing w:val="-1"/>
                <w:sz w:val="20"/>
                <w:szCs w:val="20"/>
                <w:lang w:val="tr-TR"/>
              </w:rPr>
              <w:t xml:space="preserve"> </w:t>
            </w:r>
            <w:r w:rsidRPr="0010660D">
              <w:rPr>
                <w:rFonts w:ascii="Arial" w:hAnsi="Arial" w:cs="Arial"/>
                <w:color w:val="363636"/>
                <w:sz w:val="20"/>
                <w:szCs w:val="20"/>
                <w:lang w:val="tr-TR"/>
              </w:rPr>
              <w:t>ayrı</w:t>
            </w:r>
            <w:r w:rsidRPr="0010660D">
              <w:rPr>
                <w:rFonts w:ascii="Arial" w:hAnsi="Arial" w:cs="Arial"/>
                <w:color w:val="363636"/>
                <w:spacing w:val="-4"/>
                <w:sz w:val="20"/>
                <w:szCs w:val="20"/>
                <w:lang w:val="tr-TR"/>
              </w:rPr>
              <w:t xml:space="preserve"> </w:t>
            </w:r>
            <w:r w:rsidRPr="0010660D">
              <w:rPr>
                <w:rFonts w:ascii="Arial" w:hAnsi="Arial" w:cs="Arial"/>
                <w:color w:val="363636"/>
                <w:sz w:val="20"/>
                <w:szCs w:val="20"/>
                <w:lang w:val="tr-TR"/>
              </w:rPr>
              <w:t>olarak</w:t>
            </w:r>
            <w:r w:rsidRPr="0010660D">
              <w:rPr>
                <w:rFonts w:ascii="Arial" w:hAnsi="Arial" w:cs="Arial"/>
                <w:color w:val="363636"/>
                <w:spacing w:val="1"/>
                <w:sz w:val="20"/>
                <w:szCs w:val="20"/>
                <w:lang w:val="tr-TR"/>
              </w:rPr>
              <w:t xml:space="preserve"> </w:t>
            </w:r>
            <w:r w:rsidRPr="0010660D">
              <w:rPr>
                <w:rFonts w:ascii="Arial" w:hAnsi="Arial" w:cs="Arial"/>
                <w:color w:val="363636"/>
                <w:sz w:val="20"/>
                <w:szCs w:val="20"/>
                <w:lang w:val="tr-TR"/>
              </w:rPr>
              <w:t>göstererek sigorta</w:t>
            </w:r>
            <w:r w:rsidRPr="0010660D">
              <w:rPr>
                <w:rFonts w:ascii="Arial" w:hAnsi="Arial" w:cs="Arial"/>
                <w:color w:val="363636"/>
                <w:spacing w:val="-3"/>
                <w:sz w:val="20"/>
                <w:szCs w:val="20"/>
                <w:lang w:val="tr-TR"/>
              </w:rPr>
              <w:t xml:space="preserve"> </w:t>
            </w:r>
            <w:r w:rsidRPr="0010660D">
              <w:rPr>
                <w:rFonts w:ascii="Arial" w:hAnsi="Arial" w:cs="Arial"/>
                <w:color w:val="363636"/>
                <w:sz w:val="20"/>
                <w:szCs w:val="20"/>
                <w:lang w:val="tr-TR"/>
              </w:rPr>
              <w:t>varl</w:t>
            </w:r>
            <w:r w:rsidRPr="0010660D">
              <w:rPr>
                <w:rFonts w:ascii="Arial" w:hAnsi="Arial" w:cs="Arial"/>
                <w:color w:val="0C0C0C"/>
                <w:sz w:val="20"/>
                <w:szCs w:val="20"/>
                <w:lang w:val="tr-TR"/>
              </w:rPr>
              <w:t>ık</w:t>
            </w:r>
            <w:r w:rsidRPr="0010660D">
              <w:rPr>
                <w:rFonts w:ascii="Arial" w:hAnsi="Arial" w:cs="Arial"/>
                <w:color w:val="0C0C0C"/>
                <w:spacing w:val="-13"/>
                <w:sz w:val="20"/>
                <w:szCs w:val="20"/>
                <w:lang w:val="tr-TR"/>
              </w:rPr>
              <w:t xml:space="preserve"> </w:t>
            </w:r>
            <w:r w:rsidRPr="0010660D">
              <w:rPr>
                <w:rFonts w:ascii="Arial" w:hAnsi="Arial" w:cs="Arial"/>
                <w:color w:val="363636"/>
                <w:sz w:val="20"/>
                <w:szCs w:val="20"/>
                <w:lang w:val="tr-TR"/>
              </w:rPr>
              <w:t>ve</w:t>
            </w:r>
            <w:r w:rsidRPr="0010660D">
              <w:rPr>
                <w:rFonts w:ascii="Arial" w:hAnsi="Arial" w:cs="Arial"/>
                <w:color w:val="363636"/>
                <w:spacing w:val="-9"/>
                <w:sz w:val="20"/>
                <w:szCs w:val="20"/>
                <w:lang w:val="tr-TR"/>
              </w:rPr>
              <w:t xml:space="preserve"> </w:t>
            </w:r>
            <w:r w:rsidRPr="0010660D">
              <w:rPr>
                <w:rFonts w:ascii="Arial" w:hAnsi="Arial" w:cs="Arial"/>
                <w:color w:val="212121"/>
                <w:sz w:val="20"/>
                <w:szCs w:val="20"/>
                <w:lang w:val="tr-TR"/>
              </w:rPr>
              <w:t>borçl</w:t>
            </w:r>
            <w:r w:rsidRPr="0010660D">
              <w:rPr>
                <w:rFonts w:ascii="Arial" w:hAnsi="Arial" w:cs="Arial"/>
                <w:color w:val="4B4B4B"/>
                <w:sz w:val="20"/>
                <w:szCs w:val="20"/>
                <w:lang w:val="tr-TR"/>
              </w:rPr>
              <w:t>a</w:t>
            </w:r>
            <w:r w:rsidRPr="0010660D">
              <w:rPr>
                <w:rFonts w:ascii="Arial" w:hAnsi="Arial" w:cs="Arial"/>
                <w:color w:val="212121"/>
                <w:sz w:val="20"/>
                <w:szCs w:val="20"/>
                <w:lang w:val="tr-TR"/>
              </w:rPr>
              <w:t>rının</w:t>
            </w:r>
            <w:r w:rsidRPr="0010660D">
              <w:rPr>
                <w:rFonts w:ascii="Arial" w:hAnsi="Arial" w:cs="Arial"/>
                <w:color w:val="212121"/>
                <w:spacing w:val="-21"/>
                <w:sz w:val="20"/>
                <w:szCs w:val="20"/>
                <w:lang w:val="tr-TR"/>
              </w:rPr>
              <w:t xml:space="preserve"> </w:t>
            </w:r>
            <w:r w:rsidRPr="0010660D">
              <w:rPr>
                <w:rFonts w:ascii="Arial" w:hAnsi="Arial" w:cs="Arial"/>
                <w:color w:val="4B4B4B"/>
                <w:sz w:val="20"/>
                <w:szCs w:val="20"/>
                <w:lang w:val="tr-TR"/>
              </w:rPr>
              <w:t>ö</w:t>
            </w:r>
            <w:r w:rsidRPr="0010660D">
              <w:rPr>
                <w:rFonts w:ascii="Arial" w:hAnsi="Arial" w:cs="Arial"/>
                <w:color w:val="212121"/>
                <w:sz w:val="20"/>
                <w:szCs w:val="20"/>
                <w:lang w:val="tr-TR"/>
              </w:rPr>
              <w:t>lçümünde</w:t>
            </w:r>
            <w:r w:rsidRPr="0010660D">
              <w:rPr>
                <w:rFonts w:ascii="Arial" w:hAnsi="Arial" w:cs="Arial"/>
                <w:color w:val="212121"/>
                <w:spacing w:val="-13"/>
                <w:sz w:val="20"/>
                <w:szCs w:val="20"/>
                <w:lang w:val="tr-TR"/>
              </w:rPr>
              <w:t xml:space="preserve"> </w:t>
            </w:r>
            <w:r w:rsidRPr="0010660D">
              <w:rPr>
                <w:rFonts w:ascii="Arial" w:hAnsi="Arial" w:cs="Arial"/>
                <w:color w:val="363636"/>
                <w:sz w:val="20"/>
                <w:szCs w:val="20"/>
                <w:lang w:val="tr-TR"/>
              </w:rPr>
              <w:t>kullanılan</w:t>
            </w:r>
            <w:r w:rsidRPr="0010660D">
              <w:rPr>
                <w:rFonts w:ascii="Arial" w:hAnsi="Arial" w:cs="Arial"/>
                <w:color w:val="363636"/>
                <w:spacing w:val="9"/>
                <w:sz w:val="20"/>
                <w:szCs w:val="20"/>
                <w:lang w:val="tr-TR"/>
              </w:rPr>
              <w:t xml:space="preserve"> </w:t>
            </w:r>
            <w:r w:rsidRPr="0010660D">
              <w:rPr>
                <w:rFonts w:ascii="Arial" w:hAnsi="Arial" w:cs="Arial"/>
                <w:color w:val="363636"/>
                <w:sz w:val="20"/>
                <w:szCs w:val="20"/>
                <w:lang w:val="tr-TR"/>
              </w:rPr>
              <w:t>varsayımlardaki</w:t>
            </w:r>
            <w:r w:rsidRPr="0010660D">
              <w:rPr>
                <w:rFonts w:ascii="Arial" w:hAnsi="Arial" w:cs="Arial"/>
                <w:color w:val="363636"/>
                <w:spacing w:val="-10"/>
                <w:sz w:val="20"/>
                <w:szCs w:val="20"/>
                <w:lang w:val="tr-TR"/>
              </w:rPr>
              <w:t xml:space="preserve"> </w:t>
            </w:r>
            <w:r w:rsidRPr="0010660D">
              <w:rPr>
                <w:rFonts w:ascii="Arial" w:hAnsi="Arial" w:cs="Arial"/>
                <w:color w:val="363636"/>
                <w:sz w:val="20"/>
                <w:szCs w:val="20"/>
                <w:lang w:val="tr-TR"/>
              </w:rPr>
              <w:t>değişikliklerin</w:t>
            </w:r>
            <w:r w:rsidRPr="0010660D">
              <w:rPr>
                <w:rFonts w:ascii="Arial" w:hAnsi="Arial" w:cs="Arial"/>
                <w:color w:val="363636"/>
                <w:spacing w:val="-13"/>
                <w:sz w:val="20"/>
                <w:szCs w:val="20"/>
                <w:lang w:val="tr-TR"/>
              </w:rPr>
              <w:t xml:space="preserve"> </w:t>
            </w:r>
            <w:r w:rsidRPr="0010660D">
              <w:rPr>
                <w:rFonts w:ascii="Arial" w:hAnsi="Arial" w:cs="Arial"/>
                <w:color w:val="363636"/>
                <w:sz w:val="20"/>
                <w:szCs w:val="20"/>
                <w:lang w:val="tr-TR"/>
              </w:rPr>
              <w:t>etkileri</w:t>
            </w:r>
          </w:p>
        </w:tc>
      </w:tr>
      <w:tr w:rsidR="0010660D" w:rsidRPr="00F74740" w14:paraId="181CA8E4" w14:textId="77777777" w:rsidTr="003B5137">
        <w:trPr>
          <w:trHeight w:val="225"/>
        </w:trPr>
        <w:tc>
          <w:tcPr>
            <w:tcW w:w="933" w:type="dxa"/>
          </w:tcPr>
          <w:p w14:paraId="1B93CBB4" w14:textId="77777777" w:rsidR="0010660D" w:rsidRPr="0010660D" w:rsidRDefault="0010660D" w:rsidP="008979CB">
            <w:pPr>
              <w:pStyle w:val="TableParagraph"/>
              <w:spacing w:before="16" w:line="276" w:lineRule="auto"/>
              <w:ind w:left="127"/>
              <w:rPr>
                <w:rFonts w:ascii="Arial" w:hAnsi="Arial" w:cs="Arial"/>
                <w:sz w:val="20"/>
                <w:szCs w:val="20"/>
                <w:lang w:val="tr-TR"/>
              </w:rPr>
            </w:pPr>
            <w:r w:rsidRPr="0010660D">
              <w:rPr>
                <w:rFonts w:ascii="Arial" w:hAnsi="Arial" w:cs="Arial"/>
                <w:color w:val="363636"/>
                <w:spacing w:val="-5"/>
                <w:sz w:val="20"/>
                <w:szCs w:val="20"/>
                <w:lang w:val="tr-TR"/>
              </w:rPr>
              <w:t>16</w:t>
            </w:r>
          </w:p>
        </w:tc>
        <w:tc>
          <w:tcPr>
            <w:tcW w:w="7855" w:type="dxa"/>
          </w:tcPr>
          <w:p w14:paraId="0FFA8067" w14:textId="77777777" w:rsidR="0010660D" w:rsidRPr="0010660D" w:rsidRDefault="0010660D" w:rsidP="0010660D">
            <w:pPr>
              <w:pStyle w:val="TableParagraph"/>
              <w:spacing w:before="0" w:line="276" w:lineRule="auto"/>
              <w:jc w:val="both"/>
              <w:rPr>
                <w:rFonts w:ascii="Arial" w:hAnsi="Arial" w:cs="Arial"/>
                <w:sz w:val="20"/>
                <w:szCs w:val="20"/>
                <w:lang w:val="tr-TR"/>
              </w:rPr>
            </w:pPr>
            <w:r w:rsidRPr="0010660D">
              <w:rPr>
                <w:rFonts w:ascii="Arial" w:hAnsi="Arial" w:cs="Arial"/>
                <w:color w:val="363636"/>
                <w:spacing w:val="-2"/>
                <w:sz w:val="20"/>
                <w:szCs w:val="20"/>
                <w:lang w:val="tr-TR"/>
              </w:rPr>
              <w:t>Sigorta</w:t>
            </w:r>
            <w:r w:rsidRPr="0010660D">
              <w:rPr>
                <w:rFonts w:ascii="Arial" w:hAnsi="Arial" w:cs="Arial"/>
                <w:color w:val="363636"/>
                <w:spacing w:val="-11"/>
                <w:sz w:val="20"/>
                <w:szCs w:val="20"/>
                <w:lang w:val="tr-TR"/>
              </w:rPr>
              <w:t xml:space="preserve"> </w:t>
            </w:r>
            <w:r w:rsidRPr="0010660D">
              <w:rPr>
                <w:rFonts w:ascii="Arial" w:hAnsi="Arial" w:cs="Arial"/>
                <w:color w:val="363636"/>
                <w:spacing w:val="-2"/>
                <w:sz w:val="20"/>
                <w:szCs w:val="20"/>
                <w:lang w:val="tr-TR"/>
              </w:rPr>
              <w:t>Sözleşme</w:t>
            </w:r>
            <w:r w:rsidRPr="0010660D">
              <w:rPr>
                <w:rFonts w:ascii="Arial" w:hAnsi="Arial" w:cs="Arial"/>
                <w:color w:val="0C0C0C"/>
                <w:spacing w:val="-2"/>
                <w:sz w:val="20"/>
                <w:szCs w:val="20"/>
                <w:lang w:val="tr-TR"/>
              </w:rPr>
              <w:t>l</w:t>
            </w:r>
            <w:r w:rsidRPr="0010660D">
              <w:rPr>
                <w:rFonts w:ascii="Arial" w:hAnsi="Arial" w:cs="Arial"/>
                <w:color w:val="363636"/>
                <w:spacing w:val="-2"/>
                <w:sz w:val="20"/>
                <w:szCs w:val="20"/>
                <w:lang w:val="tr-TR"/>
              </w:rPr>
              <w:t>erine</w:t>
            </w:r>
            <w:r w:rsidRPr="0010660D">
              <w:rPr>
                <w:rFonts w:ascii="Arial" w:hAnsi="Arial" w:cs="Arial"/>
                <w:color w:val="363636"/>
                <w:spacing w:val="-3"/>
                <w:sz w:val="20"/>
                <w:szCs w:val="20"/>
                <w:lang w:val="tr-TR"/>
              </w:rPr>
              <w:t xml:space="preserve"> </w:t>
            </w:r>
            <w:r w:rsidRPr="0010660D">
              <w:rPr>
                <w:rFonts w:ascii="Arial" w:hAnsi="Arial" w:cs="Arial"/>
                <w:color w:val="212121"/>
                <w:spacing w:val="-2"/>
                <w:sz w:val="20"/>
                <w:szCs w:val="20"/>
                <w:lang w:val="tr-TR"/>
              </w:rPr>
              <w:t>İlişkin</w:t>
            </w:r>
            <w:r w:rsidRPr="0010660D">
              <w:rPr>
                <w:rFonts w:ascii="Arial" w:hAnsi="Arial" w:cs="Arial"/>
                <w:color w:val="212121"/>
                <w:spacing w:val="3"/>
                <w:sz w:val="20"/>
                <w:szCs w:val="20"/>
                <w:lang w:val="tr-TR"/>
              </w:rPr>
              <w:t xml:space="preserve"> </w:t>
            </w:r>
            <w:r w:rsidRPr="0010660D">
              <w:rPr>
                <w:rFonts w:ascii="Arial" w:hAnsi="Arial" w:cs="Arial"/>
                <w:color w:val="212121"/>
                <w:spacing w:val="-2"/>
                <w:sz w:val="20"/>
                <w:szCs w:val="20"/>
                <w:lang w:val="tr-TR"/>
              </w:rPr>
              <w:t>Varlık</w:t>
            </w:r>
            <w:r w:rsidRPr="0010660D">
              <w:rPr>
                <w:rFonts w:ascii="Arial" w:hAnsi="Arial" w:cs="Arial"/>
                <w:color w:val="212121"/>
                <w:spacing w:val="-3"/>
                <w:sz w:val="20"/>
                <w:szCs w:val="20"/>
                <w:lang w:val="tr-TR"/>
              </w:rPr>
              <w:t xml:space="preserve"> </w:t>
            </w:r>
            <w:r w:rsidRPr="0010660D">
              <w:rPr>
                <w:rFonts w:ascii="Arial" w:hAnsi="Arial" w:cs="Arial"/>
                <w:color w:val="363636"/>
                <w:spacing w:val="-2"/>
                <w:sz w:val="20"/>
                <w:szCs w:val="20"/>
                <w:lang w:val="tr-TR"/>
              </w:rPr>
              <w:t>ve</w:t>
            </w:r>
            <w:r w:rsidRPr="0010660D">
              <w:rPr>
                <w:rFonts w:ascii="Arial" w:hAnsi="Arial" w:cs="Arial"/>
                <w:color w:val="363636"/>
                <w:spacing w:val="-5"/>
                <w:sz w:val="20"/>
                <w:szCs w:val="20"/>
                <w:lang w:val="tr-TR"/>
              </w:rPr>
              <w:t xml:space="preserve"> </w:t>
            </w:r>
            <w:r w:rsidRPr="0010660D">
              <w:rPr>
                <w:rFonts w:ascii="Arial" w:hAnsi="Arial" w:cs="Arial"/>
                <w:color w:val="363636"/>
                <w:spacing w:val="-2"/>
                <w:sz w:val="20"/>
                <w:szCs w:val="20"/>
                <w:lang w:val="tr-TR"/>
              </w:rPr>
              <w:t>Yükümlülükler</w:t>
            </w:r>
          </w:p>
        </w:tc>
      </w:tr>
      <w:tr w:rsidR="0010660D" w:rsidRPr="00F74740" w14:paraId="3497624C" w14:textId="77777777" w:rsidTr="003B5137">
        <w:trPr>
          <w:trHeight w:val="220"/>
        </w:trPr>
        <w:tc>
          <w:tcPr>
            <w:tcW w:w="933" w:type="dxa"/>
          </w:tcPr>
          <w:p w14:paraId="1E87F285" w14:textId="77777777" w:rsidR="0010660D" w:rsidRPr="0010660D" w:rsidRDefault="0010660D" w:rsidP="008979CB">
            <w:pPr>
              <w:pStyle w:val="TableParagraph"/>
              <w:spacing w:before="21" w:line="276" w:lineRule="auto"/>
              <w:ind w:left="127"/>
              <w:rPr>
                <w:rFonts w:ascii="Arial" w:hAnsi="Arial" w:cs="Arial"/>
                <w:sz w:val="20"/>
                <w:szCs w:val="20"/>
                <w:lang w:val="tr-TR"/>
              </w:rPr>
            </w:pPr>
            <w:r w:rsidRPr="0010660D">
              <w:rPr>
                <w:rFonts w:ascii="Arial" w:hAnsi="Arial" w:cs="Arial"/>
                <w:color w:val="363636"/>
                <w:spacing w:val="-5"/>
                <w:w w:val="105"/>
                <w:sz w:val="20"/>
                <w:szCs w:val="20"/>
                <w:lang w:val="tr-TR"/>
              </w:rPr>
              <w:t>17</w:t>
            </w:r>
          </w:p>
        </w:tc>
        <w:tc>
          <w:tcPr>
            <w:tcW w:w="7855" w:type="dxa"/>
          </w:tcPr>
          <w:p w14:paraId="606F9AED" w14:textId="3419D786" w:rsidR="0010660D" w:rsidRPr="0010660D" w:rsidRDefault="0010660D" w:rsidP="0010660D">
            <w:pPr>
              <w:pStyle w:val="TableParagraph"/>
              <w:spacing w:before="0" w:line="276" w:lineRule="auto"/>
              <w:ind w:left="130"/>
              <w:jc w:val="both"/>
              <w:rPr>
                <w:rFonts w:ascii="Arial" w:hAnsi="Arial" w:cs="Arial"/>
                <w:sz w:val="20"/>
                <w:szCs w:val="20"/>
                <w:lang w:val="tr-TR"/>
              </w:rPr>
            </w:pPr>
            <w:r w:rsidRPr="0010660D">
              <w:rPr>
                <w:rFonts w:ascii="Arial" w:hAnsi="Arial" w:cs="Arial"/>
                <w:color w:val="363636"/>
                <w:spacing w:val="-2"/>
                <w:sz w:val="20"/>
                <w:szCs w:val="20"/>
                <w:lang w:val="tr-TR"/>
              </w:rPr>
              <w:t>Elde</w:t>
            </w:r>
            <w:r w:rsidRPr="0010660D">
              <w:rPr>
                <w:rFonts w:ascii="Arial" w:hAnsi="Arial" w:cs="Arial"/>
                <w:color w:val="363636"/>
                <w:spacing w:val="-12"/>
                <w:sz w:val="20"/>
                <w:szCs w:val="20"/>
                <w:lang w:val="tr-TR"/>
              </w:rPr>
              <w:t xml:space="preserve"> </w:t>
            </w:r>
            <w:r w:rsidRPr="0010660D">
              <w:rPr>
                <w:rFonts w:ascii="Arial" w:hAnsi="Arial" w:cs="Arial"/>
                <w:color w:val="363636"/>
                <w:spacing w:val="-2"/>
                <w:sz w:val="20"/>
                <w:szCs w:val="20"/>
                <w:lang w:val="tr-TR"/>
              </w:rPr>
              <w:t>Tutulan</w:t>
            </w:r>
            <w:r w:rsidRPr="0010660D">
              <w:rPr>
                <w:rFonts w:ascii="Arial" w:hAnsi="Arial" w:cs="Arial"/>
                <w:color w:val="363636"/>
                <w:spacing w:val="3"/>
                <w:sz w:val="20"/>
                <w:szCs w:val="20"/>
                <w:lang w:val="tr-TR"/>
              </w:rPr>
              <w:t xml:space="preserve"> </w:t>
            </w:r>
            <w:r w:rsidRPr="0010660D">
              <w:rPr>
                <w:rFonts w:ascii="Arial" w:hAnsi="Arial" w:cs="Arial"/>
                <w:color w:val="363636"/>
                <w:spacing w:val="-2"/>
                <w:sz w:val="20"/>
                <w:szCs w:val="20"/>
                <w:lang w:val="tr-TR"/>
              </w:rPr>
              <w:t>Reasürans</w:t>
            </w:r>
            <w:r w:rsidRPr="0010660D">
              <w:rPr>
                <w:rFonts w:ascii="Arial" w:hAnsi="Arial" w:cs="Arial"/>
                <w:color w:val="363636"/>
                <w:spacing w:val="-11"/>
                <w:sz w:val="20"/>
                <w:szCs w:val="20"/>
                <w:lang w:val="tr-TR"/>
              </w:rPr>
              <w:t xml:space="preserve"> </w:t>
            </w:r>
            <w:r w:rsidRPr="0010660D">
              <w:rPr>
                <w:rFonts w:ascii="Arial" w:hAnsi="Arial" w:cs="Arial"/>
                <w:color w:val="363636"/>
                <w:spacing w:val="-2"/>
                <w:sz w:val="20"/>
                <w:szCs w:val="20"/>
                <w:lang w:val="tr-TR"/>
              </w:rPr>
              <w:t>Sözleşmelerine</w:t>
            </w:r>
            <w:r w:rsidRPr="0010660D">
              <w:rPr>
                <w:rFonts w:ascii="Arial" w:hAnsi="Arial" w:cs="Arial"/>
                <w:color w:val="363636"/>
                <w:spacing w:val="-10"/>
                <w:sz w:val="20"/>
                <w:szCs w:val="20"/>
                <w:lang w:val="tr-TR"/>
              </w:rPr>
              <w:t xml:space="preserve"> </w:t>
            </w:r>
            <w:r w:rsidRPr="0010660D">
              <w:rPr>
                <w:rFonts w:ascii="Arial" w:hAnsi="Arial" w:cs="Arial"/>
                <w:color w:val="212121"/>
                <w:spacing w:val="-2"/>
                <w:sz w:val="20"/>
                <w:szCs w:val="20"/>
                <w:lang w:val="tr-TR"/>
              </w:rPr>
              <w:t>İlişkin</w:t>
            </w:r>
            <w:r w:rsidRPr="0010660D">
              <w:rPr>
                <w:rFonts w:ascii="Arial" w:hAnsi="Arial" w:cs="Arial"/>
                <w:color w:val="212121"/>
                <w:spacing w:val="-1"/>
                <w:sz w:val="20"/>
                <w:szCs w:val="20"/>
                <w:lang w:val="tr-TR"/>
              </w:rPr>
              <w:t xml:space="preserve"> </w:t>
            </w:r>
            <w:r w:rsidRPr="0010660D">
              <w:rPr>
                <w:rFonts w:ascii="Arial" w:hAnsi="Arial" w:cs="Arial"/>
                <w:color w:val="363636"/>
                <w:spacing w:val="-2"/>
                <w:sz w:val="20"/>
                <w:szCs w:val="20"/>
                <w:lang w:val="tr-TR"/>
              </w:rPr>
              <w:t>Varl</w:t>
            </w:r>
            <w:r w:rsidRPr="0010660D">
              <w:rPr>
                <w:rFonts w:ascii="Arial" w:hAnsi="Arial" w:cs="Arial"/>
                <w:color w:val="0C0C0C"/>
                <w:spacing w:val="-2"/>
                <w:sz w:val="20"/>
                <w:szCs w:val="20"/>
                <w:lang w:val="tr-TR"/>
              </w:rPr>
              <w:t>ı</w:t>
            </w:r>
            <w:r w:rsidRPr="0010660D">
              <w:rPr>
                <w:rFonts w:ascii="Arial" w:hAnsi="Arial" w:cs="Arial"/>
                <w:color w:val="363636"/>
                <w:spacing w:val="-2"/>
                <w:sz w:val="20"/>
                <w:szCs w:val="20"/>
                <w:lang w:val="tr-TR"/>
              </w:rPr>
              <w:t>k</w:t>
            </w:r>
            <w:r w:rsidRPr="0010660D">
              <w:rPr>
                <w:rFonts w:ascii="Arial" w:hAnsi="Arial" w:cs="Arial"/>
                <w:color w:val="363636"/>
                <w:spacing w:val="-11"/>
                <w:sz w:val="20"/>
                <w:szCs w:val="20"/>
                <w:lang w:val="tr-TR"/>
              </w:rPr>
              <w:t xml:space="preserve"> </w:t>
            </w:r>
            <w:r w:rsidRPr="0010660D">
              <w:rPr>
                <w:rFonts w:ascii="Arial" w:hAnsi="Arial" w:cs="Arial"/>
                <w:color w:val="363636"/>
                <w:spacing w:val="-2"/>
                <w:sz w:val="20"/>
                <w:szCs w:val="20"/>
                <w:lang w:val="tr-TR"/>
              </w:rPr>
              <w:t>ve</w:t>
            </w:r>
            <w:r w:rsidRPr="0010660D">
              <w:rPr>
                <w:rFonts w:ascii="Arial" w:hAnsi="Arial" w:cs="Arial"/>
                <w:color w:val="363636"/>
                <w:spacing w:val="-10"/>
                <w:sz w:val="20"/>
                <w:szCs w:val="20"/>
                <w:lang w:val="tr-TR"/>
              </w:rPr>
              <w:t xml:space="preserve"> </w:t>
            </w:r>
            <w:r w:rsidRPr="0010660D">
              <w:rPr>
                <w:rFonts w:ascii="Arial" w:hAnsi="Arial" w:cs="Arial"/>
                <w:color w:val="212121"/>
                <w:spacing w:val="-2"/>
                <w:sz w:val="20"/>
                <w:szCs w:val="20"/>
                <w:lang w:val="tr-TR"/>
              </w:rPr>
              <w:t>Y</w:t>
            </w:r>
            <w:r>
              <w:rPr>
                <w:rFonts w:ascii="Arial" w:hAnsi="Arial" w:cs="Arial"/>
                <w:color w:val="212121"/>
                <w:spacing w:val="-2"/>
                <w:sz w:val="20"/>
                <w:szCs w:val="20"/>
                <w:lang w:val="tr-TR"/>
              </w:rPr>
              <w:t>ü</w:t>
            </w:r>
            <w:r w:rsidRPr="0010660D">
              <w:rPr>
                <w:rFonts w:ascii="Arial" w:hAnsi="Arial" w:cs="Arial"/>
                <w:color w:val="212121"/>
                <w:spacing w:val="-2"/>
                <w:sz w:val="20"/>
                <w:szCs w:val="20"/>
                <w:lang w:val="tr-TR"/>
              </w:rPr>
              <w:t>kümlülükler</w:t>
            </w:r>
          </w:p>
        </w:tc>
      </w:tr>
    </w:tbl>
    <w:p w14:paraId="0063A9EC" w14:textId="0A7A75EA" w:rsidR="00491D7E" w:rsidRPr="00796995" w:rsidRDefault="00491D7E" w:rsidP="00796995">
      <w:pPr>
        <w:widowControl w:val="0"/>
        <w:spacing w:after="0"/>
        <w:ind w:left="170" w:right="170"/>
        <w:jc w:val="both"/>
        <w:rPr>
          <w:b/>
          <w:sz w:val="20"/>
        </w:rPr>
      </w:pPr>
    </w:p>
    <w:p w14:paraId="05A32D55" w14:textId="77777777" w:rsidR="0010660D" w:rsidRPr="0010660D" w:rsidRDefault="0010660D" w:rsidP="0010660D">
      <w:pPr>
        <w:widowControl w:val="0"/>
        <w:spacing w:after="0"/>
        <w:ind w:left="170" w:right="170"/>
        <w:jc w:val="both"/>
        <w:rPr>
          <w:rFonts w:eastAsiaTheme="minorHAnsi"/>
          <w:color w:val="000000"/>
          <w:kern w:val="16"/>
          <w:sz w:val="20"/>
          <w:lang w:eastAsia="en-US"/>
        </w:rPr>
      </w:pPr>
      <w:r w:rsidRPr="0010660D">
        <w:rPr>
          <w:sz w:val="20"/>
        </w:rPr>
        <w:t>c)</w:t>
      </w:r>
      <w:r w:rsidRPr="0010660D">
        <w:rPr>
          <w:sz w:val="20"/>
        </w:rPr>
        <w:tab/>
      </w:r>
      <w:r w:rsidRPr="0010660D">
        <w:rPr>
          <w:rFonts w:eastAsiaTheme="minorHAnsi"/>
          <w:color w:val="000000"/>
          <w:kern w:val="16"/>
          <w:sz w:val="20"/>
          <w:lang w:eastAsia="en-US"/>
        </w:rPr>
        <w:t>Do</w:t>
      </w:r>
      <w:bookmarkStart w:id="0" w:name="_GoBack"/>
      <w:bookmarkEnd w:id="0"/>
      <w:r w:rsidRPr="0010660D">
        <w:rPr>
          <w:rFonts w:eastAsiaTheme="minorHAnsi"/>
          <w:color w:val="000000"/>
          <w:kern w:val="16"/>
          <w:sz w:val="20"/>
          <w:lang w:eastAsia="en-US"/>
        </w:rPr>
        <w:t>kuz aylık döneme ilişkin tüm finansal tablolar dipnotları ile birlikte 2024 yılı Kasını ayı sonuna kadar Kuruma elektronik ortamda gönderilir.</w:t>
      </w:r>
    </w:p>
    <w:p w14:paraId="600EBAF7" w14:textId="77777777" w:rsidR="0010660D" w:rsidRPr="0010660D" w:rsidRDefault="0010660D" w:rsidP="0010660D">
      <w:pPr>
        <w:widowControl w:val="0"/>
        <w:spacing w:after="0"/>
        <w:ind w:left="170" w:right="170"/>
        <w:jc w:val="both"/>
        <w:rPr>
          <w:rFonts w:eastAsiaTheme="minorHAnsi"/>
          <w:color w:val="000000"/>
          <w:kern w:val="16"/>
          <w:sz w:val="20"/>
          <w:lang w:eastAsia="en-US"/>
        </w:rPr>
      </w:pPr>
      <w:r w:rsidRPr="0010660D">
        <w:rPr>
          <w:sz w:val="20"/>
        </w:rPr>
        <w:t>d)</w:t>
      </w:r>
      <w:r w:rsidRPr="0010660D">
        <w:rPr>
          <w:sz w:val="20"/>
        </w:rPr>
        <w:tab/>
      </w:r>
      <w:r w:rsidRPr="0010660D">
        <w:rPr>
          <w:rFonts w:eastAsiaTheme="minorHAnsi"/>
          <w:color w:val="000000"/>
          <w:kern w:val="16"/>
          <w:sz w:val="20"/>
          <w:lang w:eastAsia="en-US"/>
        </w:rPr>
        <w:t>On iki aylık döneme ilişkin tüm finansal tablolar dipnotları ile birlikte 2025 yılı Mart ayı sonuna kadar Kuruma elektronik ortamda gönderilir.</w:t>
      </w:r>
    </w:p>
    <w:p w14:paraId="30279290" w14:textId="601C8D2B" w:rsidR="0010660D" w:rsidRPr="0010660D" w:rsidRDefault="0010660D" w:rsidP="0010660D">
      <w:pPr>
        <w:widowControl w:val="0"/>
        <w:spacing w:after="0"/>
        <w:ind w:left="170" w:right="170"/>
        <w:jc w:val="both"/>
        <w:rPr>
          <w:sz w:val="20"/>
        </w:rPr>
      </w:pPr>
      <w:r w:rsidRPr="0010660D">
        <w:rPr>
          <w:sz w:val="20"/>
        </w:rPr>
        <w:t>(2)</w:t>
      </w:r>
      <w:r w:rsidRPr="0010660D">
        <w:rPr>
          <w:sz w:val="20"/>
        </w:rPr>
        <w:tab/>
        <w:t>Bu madde kapsamında, sigorta ve reasürans ile emeklilik şirketleri tarafından hazırlanan t</w:t>
      </w:r>
      <w:r>
        <w:rPr>
          <w:sz w:val="20"/>
        </w:rPr>
        <w:t>ü</w:t>
      </w:r>
      <w:r w:rsidRPr="0010660D">
        <w:rPr>
          <w:sz w:val="20"/>
        </w:rPr>
        <w:t>m finansal tablolar dipnotları ile birlikte sadece yıl sonuna ilişkin bir önceki yıl ile karşılaştırmalı olarak sunulur ve bağımsız denetime tabi tutulur.</w:t>
      </w:r>
    </w:p>
    <w:p w14:paraId="792E6950" w14:textId="77777777" w:rsidR="0010660D" w:rsidRPr="0010660D" w:rsidRDefault="0010660D" w:rsidP="0010660D">
      <w:pPr>
        <w:widowControl w:val="0"/>
        <w:spacing w:after="0"/>
        <w:ind w:left="170" w:right="170"/>
        <w:jc w:val="both"/>
        <w:rPr>
          <w:sz w:val="20"/>
        </w:rPr>
      </w:pPr>
      <w:r w:rsidRPr="0010660D">
        <w:rPr>
          <w:sz w:val="20"/>
        </w:rPr>
        <w:t>(3)</w:t>
      </w:r>
      <w:r w:rsidRPr="0010660D">
        <w:rPr>
          <w:sz w:val="20"/>
        </w:rPr>
        <w:tab/>
        <w:t>Bu madde kapsamında, konsolidasyona tabi sigorta ve reasürans ile emeklilik şirketleri sadece yıl sonuna ilişkin konsolide edilmiş finansal tablolarını sunar.</w:t>
      </w:r>
    </w:p>
    <w:p w14:paraId="048B1B73" w14:textId="26BB1CC8" w:rsidR="0010660D" w:rsidRPr="0010660D" w:rsidRDefault="0010660D" w:rsidP="0010660D">
      <w:pPr>
        <w:widowControl w:val="0"/>
        <w:spacing w:after="0"/>
        <w:ind w:left="170" w:right="170"/>
        <w:jc w:val="both"/>
        <w:rPr>
          <w:sz w:val="20"/>
        </w:rPr>
      </w:pPr>
      <w:r w:rsidRPr="0010660D">
        <w:rPr>
          <w:sz w:val="20"/>
        </w:rPr>
        <w:t>(4)</w:t>
      </w:r>
      <w:r w:rsidRPr="0010660D">
        <w:rPr>
          <w:sz w:val="20"/>
        </w:rPr>
        <w:tab/>
        <w:t>Bu madde uyarınca sunulacak finansal tablolar ve dipnotlar Sigortacılık Gözetim Sistemi (SGS) kapsam</w:t>
      </w:r>
      <w:r>
        <w:rPr>
          <w:sz w:val="20"/>
        </w:rPr>
        <w:t>ın</w:t>
      </w:r>
      <w:r w:rsidRPr="0010660D">
        <w:rPr>
          <w:sz w:val="20"/>
        </w:rPr>
        <w:t>da gönderilir. SGS kapsamında Kurum tarafından ek açıklama tabloları talep edilebilir.</w:t>
      </w:r>
    </w:p>
    <w:p w14:paraId="67A8C824" w14:textId="77777777" w:rsidR="0010660D" w:rsidRPr="0010660D" w:rsidRDefault="0010660D" w:rsidP="0010660D">
      <w:pPr>
        <w:widowControl w:val="0"/>
        <w:spacing w:after="0"/>
        <w:ind w:left="170" w:right="170"/>
        <w:jc w:val="both"/>
        <w:rPr>
          <w:sz w:val="20"/>
        </w:rPr>
      </w:pPr>
    </w:p>
    <w:p w14:paraId="51130437" w14:textId="77777777" w:rsidR="0010660D" w:rsidRPr="0010660D" w:rsidRDefault="0010660D" w:rsidP="0010660D">
      <w:pPr>
        <w:widowControl w:val="0"/>
        <w:spacing w:after="0"/>
        <w:ind w:left="170" w:right="170"/>
        <w:jc w:val="both"/>
        <w:rPr>
          <w:b/>
          <w:sz w:val="20"/>
        </w:rPr>
      </w:pPr>
      <w:r w:rsidRPr="0010660D">
        <w:rPr>
          <w:b/>
          <w:sz w:val="20"/>
        </w:rPr>
        <w:t>Yürürlük</w:t>
      </w:r>
    </w:p>
    <w:p w14:paraId="6195847A" w14:textId="77777777" w:rsidR="0010660D" w:rsidRPr="0010660D" w:rsidRDefault="0010660D" w:rsidP="0010660D">
      <w:pPr>
        <w:widowControl w:val="0"/>
        <w:spacing w:after="0"/>
        <w:ind w:left="170" w:right="170"/>
        <w:jc w:val="both"/>
        <w:rPr>
          <w:sz w:val="20"/>
        </w:rPr>
      </w:pPr>
      <w:r w:rsidRPr="0010660D">
        <w:rPr>
          <w:b/>
          <w:sz w:val="20"/>
        </w:rPr>
        <w:t>MADDE 4-</w:t>
      </w:r>
      <w:r w:rsidRPr="0010660D">
        <w:rPr>
          <w:sz w:val="20"/>
        </w:rPr>
        <w:t xml:space="preserve"> (1) Bu Genelge yayımlandığı tarihte yürürlüğe girer.</w:t>
      </w:r>
    </w:p>
    <w:p w14:paraId="400815A3" w14:textId="77777777" w:rsidR="0010660D" w:rsidRPr="0010660D" w:rsidRDefault="0010660D" w:rsidP="0010660D">
      <w:pPr>
        <w:widowControl w:val="0"/>
        <w:spacing w:after="0"/>
        <w:ind w:left="170" w:right="170"/>
        <w:jc w:val="both"/>
        <w:rPr>
          <w:sz w:val="20"/>
        </w:rPr>
      </w:pPr>
    </w:p>
    <w:p w14:paraId="1132D57A" w14:textId="77777777" w:rsidR="0010660D" w:rsidRPr="0010660D" w:rsidRDefault="0010660D" w:rsidP="0010660D">
      <w:pPr>
        <w:widowControl w:val="0"/>
        <w:spacing w:after="0"/>
        <w:ind w:left="170" w:right="170"/>
        <w:jc w:val="both"/>
        <w:rPr>
          <w:b/>
          <w:sz w:val="20"/>
        </w:rPr>
      </w:pPr>
      <w:r w:rsidRPr="0010660D">
        <w:rPr>
          <w:b/>
          <w:sz w:val="20"/>
        </w:rPr>
        <w:t>Yürütme</w:t>
      </w:r>
    </w:p>
    <w:p w14:paraId="170A47D0" w14:textId="663452D4" w:rsidR="00491D7E" w:rsidRPr="0010660D" w:rsidRDefault="0010660D" w:rsidP="0010660D">
      <w:pPr>
        <w:widowControl w:val="0"/>
        <w:spacing w:after="0"/>
        <w:ind w:left="170" w:right="170"/>
        <w:jc w:val="both"/>
        <w:rPr>
          <w:sz w:val="20"/>
        </w:rPr>
      </w:pPr>
      <w:r w:rsidRPr="0010660D">
        <w:rPr>
          <w:b/>
          <w:sz w:val="20"/>
        </w:rPr>
        <w:t>MADDE 5-</w:t>
      </w:r>
      <w:r w:rsidRPr="0010660D">
        <w:rPr>
          <w:sz w:val="20"/>
        </w:rPr>
        <w:t>(1) Bu Genelge hükümlerini Sigortacılık ve Özel Emeklilik Düzenleme ve Denetleme Kurumu Başkanı yürütür.</w:t>
      </w:r>
    </w:p>
    <w:p w14:paraId="2264050A" w14:textId="734BE4B8" w:rsidR="00491D7E" w:rsidRDefault="00491D7E" w:rsidP="00491D7E">
      <w:pPr>
        <w:widowControl w:val="0"/>
        <w:spacing w:after="0"/>
        <w:ind w:left="170" w:right="170"/>
        <w:jc w:val="both"/>
        <w:rPr>
          <w:b/>
          <w:sz w:val="20"/>
        </w:rPr>
      </w:pPr>
    </w:p>
    <w:p w14:paraId="41924C4C" w14:textId="77777777" w:rsidR="0010660D" w:rsidRPr="00A27FC1" w:rsidRDefault="0010660D" w:rsidP="00491D7E">
      <w:pPr>
        <w:widowControl w:val="0"/>
        <w:spacing w:after="0"/>
        <w:ind w:left="170" w:right="170"/>
        <w:jc w:val="both"/>
        <w:rPr>
          <w:b/>
          <w:sz w:val="20"/>
        </w:rPr>
      </w:pPr>
    </w:p>
    <w:tbl>
      <w:tblPr>
        <w:tblStyle w:val="TabloKlavuzu"/>
        <w:tblW w:w="0" w:type="auto"/>
        <w:tblInd w:w="0" w:type="dxa"/>
        <w:tblLook w:val="04A0" w:firstRow="1" w:lastRow="0" w:firstColumn="1" w:lastColumn="0" w:noHBand="0" w:noVBand="1"/>
      </w:tblPr>
      <w:tblGrid>
        <w:gridCol w:w="3016"/>
        <w:gridCol w:w="3019"/>
        <w:gridCol w:w="3021"/>
      </w:tblGrid>
      <w:tr w:rsidR="006854DE" w14:paraId="127BD41C" w14:textId="77777777" w:rsidTr="00491D7E">
        <w:trPr>
          <w:trHeight w:val="289"/>
        </w:trPr>
        <w:tc>
          <w:tcPr>
            <w:tcW w:w="9056" w:type="dxa"/>
            <w:gridSpan w:val="3"/>
          </w:tcPr>
          <w:p w14:paraId="1E1B258A" w14:textId="77777777" w:rsidR="006854DE" w:rsidRPr="006854DE" w:rsidRDefault="006854DE" w:rsidP="00467BD5">
            <w:pPr>
              <w:jc w:val="center"/>
              <w:rPr>
                <w:b/>
                <w:sz w:val="20"/>
              </w:rPr>
            </w:pPr>
            <w:r w:rsidRPr="006854DE">
              <w:rPr>
                <w:b/>
                <w:sz w:val="20"/>
              </w:rPr>
              <w:t>Genelge’nin</w:t>
            </w:r>
          </w:p>
        </w:tc>
      </w:tr>
      <w:tr w:rsidR="006854DE" w14:paraId="4F38D770" w14:textId="77777777" w:rsidTr="00491D7E">
        <w:trPr>
          <w:trHeight w:val="289"/>
        </w:trPr>
        <w:tc>
          <w:tcPr>
            <w:tcW w:w="3016" w:type="dxa"/>
          </w:tcPr>
          <w:p w14:paraId="3384F9C2" w14:textId="77777777" w:rsidR="006854DE" w:rsidRPr="006854DE" w:rsidRDefault="006854DE" w:rsidP="00467BD5">
            <w:pPr>
              <w:spacing w:after="0" w:line="240" w:lineRule="auto"/>
              <w:jc w:val="center"/>
              <w:rPr>
                <w:b/>
                <w:sz w:val="20"/>
              </w:rPr>
            </w:pPr>
            <w:r w:rsidRPr="006854DE">
              <w:rPr>
                <w:b/>
                <w:sz w:val="20"/>
              </w:rPr>
              <w:t>Numarası</w:t>
            </w:r>
          </w:p>
        </w:tc>
        <w:tc>
          <w:tcPr>
            <w:tcW w:w="3019" w:type="dxa"/>
          </w:tcPr>
          <w:p w14:paraId="0F6E5B2D" w14:textId="77777777" w:rsidR="006854DE" w:rsidRPr="006854DE" w:rsidRDefault="006854DE" w:rsidP="00467BD5">
            <w:pPr>
              <w:spacing w:after="0" w:line="240" w:lineRule="auto"/>
              <w:jc w:val="center"/>
              <w:rPr>
                <w:b/>
                <w:sz w:val="20"/>
              </w:rPr>
            </w:pPr>
            <w:r w:rsidRPr="006854DE">
              <w:rPr>
                <w:b/>
                <w:sz w:val="20"/>
              </w:rPr>
              <w:t>Kabul Tarihi</w:t>
            </w:r>
          </w:p>
        </w:tc>
        <w:tc>
          <w:tcPr>
            <w:tcW w:w="3021" w:type="dxa"/>
          </w:tcPr>
          <w:p w14:paraId="17AC7CB5" w14:textId="77777777" w:rsidR="006854DE" w:rsidRPr="006854DE" w:rsidRDefault="006854DE" w:rsidP="00467BD5">
            <w:pPr>
              <w:jc w:val="center"/>
              <w:rPr>
                <w:b/>
                <w:sz w:val="20"/>
              </w:rPr>
            </w:pPr>
            <w:r w:rsidRPr="006854DE">
              <w:rPr>
                <w:b/>
                <w:sz w:val="20"/>
              </w:rPr>
              <w:t>Yürürlüğe Giriş Tarihi</w:t>
            </w:r>
          </w:p>
        </w:tc>
      </w:tr>
      <w:tr w:rsidR="006854DE" w14:paraId="0B1BCC7E" w14:textId="77777777" w:rsidTr="00491D7E">
        <w:trPr>
          <w:trHeight w:val="289"/>
        </w:trPr>
        <w:tc>
          <w:tcPr>
            <w:tcW w:w="3016" w:type="dxa"/>
          </w:tcPr>
          <w:p w14:paraId="52ADB98E" w14:textId="505A4F8E" w:rsidR="006854DE" w:rsidRPr="006854DE" w:rsidRDefault="006854DE" w:rsidP="00467BD5">
            <w:pPr>
              <w:spacing w:after="0" w:line="240" w:lineRule="auto"/>
              <w:jc w:val="center"/>
              <w:rPr>
                <w:sz w:val="20"/>
              </w:rPr>
            </w:pPr>
            <w:r w:rsidRPr="006854DE">
              <w:rPr>
                <w:sz w:val="20"/>
              </w:rPr>
              <w:t>20</w:t>
            </w:r>
            <w:r w:rsidR="0010660D">
              <w:rPr>
                <w:sz w:val="20"/>
              </w:rPr>
              <w:t>24</w:t>
            </w:r>
            <w:r w:rsidRPr="006854DE">
              <w:rPr>
                <w:sz w:val="20"/>
              </w:rPr>
              <w:t>/1</w:t>
            </w:r>
          </w:p>
        </w:tc>
        <w:tc>
          <w:tcPr>
            <w:tcW w:w="3019" w:type="dxa"/>
          </w:tcPr>
          <w:p w14:paraId="6DB45C91" w14:textId="564D1935" w:rsidR="006854DE" w:rsidRPr="006854DE" w:rsidRDefault="0010660D" w:rsidP="00467BD5">
            <w:pPr>
              <w:spacing w:after="0" w:line="240" w:lineRule="auto"/>
              <w:jc w:val="center"/>
              <w:rPr>
                <w:sz w:val="20"/>
              </w:rPr>
            </w:pPr>
            <w:r>
              <w:rPr>
                <w:sz w:val="20"/>
              </w:rPr>
              <w:t>05.01.2024</w:t>
            </w:r>
          </w:p>
        </w:tc>
        <w:tc>
          <w:tcPr>
            <w:tcW w:w="3021" w:type="dxa"/>
          </w:tcPr>
          <w:p w14:paraId="3B501AAA" w14:textId="19967FE0" w:rsidR="006854DE" w:rsidRPr="006854DE" w:rsidRDefault="0010660D" w:rsidP="00467BD5">
            <w:pPr>
              <w:jc w:val="center"/>
              <w:rPr>
                <w:sz w:val="20"/>
              </w:rPr>
            </w:pPr>
            <w:r>
              <w:rPr>
                <w:sz w:val="20"/>
              </w:rPr>
              <w:t>05.01.2024</w:t>
            </w:r>
          </w:p>
        </w:tc>
      </w:tr>
    </w:tbl>
    <w:p w14:paraId="25A9A386"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230A3" w14:textId="77777777" w:rsidR="00217C2A" w:rsidRDefault="00217C2A" w:rsidP="006854DE">
      <w:pPr>
        <w:spacing w:after="0" w:line="240" w:lineRule="auto"/>
      </w:pPr>
      <w:r>
        <w:separator/>
      </w:r>
    </w:p>
  </w:endnote>
  <w:endnote w:type="continuationSeparator" w:id="0">
    <w:p w14:paraId="3DF5089B" w14:textId="77777777" w:rsidR="00217C2A" w:rsidRDefault="00217C2A" w:rsidP="0068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9BDD" w14:textId="559FB0BE" w:rsidR="006854DE" w:rsidRPr="009E19F7" w:rsidRDefault="009E19F7" w:rsidP="009E19F7">
    <w:pPr>
      <w:pStyle w:val="AltBilgi"/>
    </w:pPr>
    <w:r>
      <w:rPr>
        <w:b/>
        <w:bCs/>
        <w:sz w:val="20"/>
        <w:u w:val="single"/>
      </w:rPr>
      <w:fldChar w:fldCharType="begin" w:fldLock="1"/>
    </w:r>
    <w:r>
      <w:rPr>
        <w:b/>
        <w:bCs/>
        <w:sz w:val="20"/>
        <w:u w:val="single"/>
      </w:rPr>
      <w:instrText xml:space="preserve"> DOCPROPERTY bjFooterEvenPageDocProperty \* MERGEFORMAT </w:instrText>
    </w:r>
    <w:r>
      <w:rPr>
        <w:b/>
        <w:bCs/>
        <w:sz w:val="20"/>
        <w:u w:val="single"/>
      </w:rPr>
      <w:fldChar w:fldCharType="separate"/>
    </w:r>
    <w:r w:rsidRPr="00354A98">
      <w:rPr>
        <w:rFonts w:ascii="Malgun Gothic" w:eastAsia="Malgun Gothic" w:hAnsi="Malgun Gothic"/>
        <w:b/>
        <w:bCs/>
        <w:color w:val="999999"/>
        <w:sz w:val="20"/>
      </w:rPr>
      <w:t>Sınıflandırma|</w:t>
    </w:r>
    <w:r w:rsidRPr="00354A98">
      <w:rPr>
        <w:rFonts w:ascii="Malgun Gothic" w:eastAsia="Malgun Gothic" w:hAnsi="Malgun Gothic"/>
        <w:b/>
        <w:bCs/>
        <w:color w:val="339966"/>
        <w:sz w:val="20"/>
      </w:rPr>
      <w:t>Genel</w:t>
    </w:r>
    <w:r>
      <w:rPr>
        <w:b/>
        <w:bCs/>
        <w:sz w:val="20"/>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D630" w14:textId="0E26CC4A" w:rsidR="006854DE" w:rsidRPr="009E19F7" w:rsidRDefault="009E19F7" w:rsidP="009E19F7">
    <w:pPr>
      <w:pStyle w:val="AltBilgi"/>
    </w:pPr>
    <w:r>
      <w:rPr>
        <w:b/>
        <w:bCs/>
        <w:sz w:val="20"/>
        <w:u w:val="single"/>
      </w:rPr>
      <w:fldChar w:fldCharType="begin" w:fldLock="1"/>
    </w:r>
    <w:r>
      <w:rPr>
        <w:b/>
        <w:bCs/>
        <w:sz w:val="20"/>
        <w:u w:val="single"/>
      </w:rPr>
      <w:instrText xml:space="preserve"> DOCPROPERTY bjFooterBothDocProperty \* MERGEFORMAT </w:instrText>
    </w:r>
    <w:r>
      <w:rPr>
        <w:b/>
        <w:bCs/>
        <w:sz w:val="20"/>
        <w:u w:val="single"/>
      </w:rPr>
      <w:fldChar w:fldCharType="separate"/>
    </w:r>
    <w:r w:rsidRPr="00354A98">
      <w:rPr>
        <w:rFonts w:ascii="Malgun Gothic" w:eastAsia="Malgun Gothic" w:hAnsi="Malgun Gothic"/>
        <w:b/>
        <w:bCs/>
        <w:color w:val="999999"/>
        <w:sz w:val="20"/>
      </w:rPr>
      <w:t>Sınıflandırma|</w:t>
    </w:r>
    <w:r w:rsidRPr="00354A98">
      <w:rPr>
        <w:rFonts w:ascii="Malgun Gothic" w:eastAsia="Malgun Gothic" w:hAnsi="Malgun Gothic"/>
        <w:b/>
        <w:bCs/>
        <w:color w:val="339966"/>
        <w:sz w:val="20"/>
      </w:rPr>
      <w:t>Genel</w:t>
    </w:r>
    <w:r>
      <w:rPr>
        <w:b/>
        <w:bCs/>
        <w:sz w:val="20"/>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4E6D" w14:textId="705722E2" w:rsidR="006854DE" w:rsidRPr="009E19F7" w:rsidRDefault="009E19F7" w:rsidP="009E19F7">
    <w:pPr>
      <w:pStyle w:val="AltBilgi"/>
    </w:pPr>
    <w:r>
      <w:rPr>
        <w:b/>
        <w:bCs/>
        <w:sz w:val="20"/>
        <w:u w:val="single"/>
      </w:rPr>
      <w:fldChar w:fldCharType="begin" w:fldLock="1"/>
    </w:r>
    <w:r>
      <w:rPr>
        <w:b/>
        <w:bCs/>
        <w:sz w:val="20"/>
        <w:u w:val="single"/>
      </w:rPr>
      <w:instrText xml:space="preserve"> DOCPROPERTY bjFooterFirstPageDocProperty \* MERGEFORMAT </w:instrText>
    </w:r>
    <w:r>
      <w:rPr>
        <w:b/>
        <w:bCs/>
        <w:sz w:val="20"/>
        <w:u w:val="single"/>
      </w:rPr>
      <w:fldChar w:fldCharType="separate"/>
    </w:r>
    <w:r w:rsidRPr="00354A98">
      <w:rPr>
        <w:rFonts w:ascii="Malgun Gothic" w:eastAsia="Malgun Gothic" w:hAnsi="Malgun Gothic"/>
        <w:b/>
        <w:bCs/>
        <w:color w:val="999999"/>
        <w:sz w:val="20"/>
      </w:rPr>
      <w:t>Sınıflandırma|</w:t>
    </w:r>
    <w:r w:rsidRPr="00354A98">
      <w:rPr>
        <w:rFonts w:ascii="Malgun Gothic" w:eastAsia="Malgun Gothic" w:hAnsi="Malgun Gothic"/>
        <w:b/>
        <w:bCs/>
        <w:color w:val="339966"/>
        <w:sz w:val="20"/>
      </w:rPr>
      <w:t>Genel</w:t>
    </w:r>
    <w:r>
      <w:rPr>
        <w:b/>
        <w:bCs/>
        <w:sz w:val="20"/>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E3DB1" w14:textId="77777777" w:rsidR="00217C2A" w:rsidRDefault="00217C2A" w:rsidP="006854DE">
      <w:pPr>
        <w:spacing w:after="0" w:line="240" w:lineRule="auto"/>
      </w:pPr>
      <w:r>
        <w:separator/>
      </w:r>
    </w:p>
  </w:footnote>
  <w:footnote w:type="continuationSeparator" w:id="0">
    <w:p w14:paraId="37A1B423" w14:textId="77777777" w:rsidR="00217C2A" w:rsidRDefault="00217C2A" w:rsidP="0068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8BD5" w14:textId="77777777" w:rsidR="006854DE" w:rsidRDefault="006854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39E8" w14:textId="77777777" w:rsidR="006854DE" w:rsidRDefault="006854D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7BAF" w14:textId="77777777" w:rsidR="006854DE" w:rsidRDefault="006854D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2C"/>
    <w:rsid w:val="0007012C"/>
    <w:rsid w:val="000E3656"/>
    <w:rsid w:val="0010660D"/>
    <w:rsid w:val="00217C2A"/>
    <w:rsid w:val="00343027"/>
    <w:rsid w:val="00354A98"/>
    <w:rsid w:val="003B5137"/>
    <w:rsid w:val="004852B8"/>
    <w:rsid w:val="00491D7E"/>
    <w:rsid w:val="006854DE"/>
    <w:rsid w:val="007076AE"/>
    <w:rsid w:val="00796995"/>
    <w:rsid w:val="00833CE0"/>
    <w:rsid w:val="008F5C19"/>
    <w:rsid w:val="009E19F7"/>
    <w:rsid w:val="00AD1804"/>
    <w:rsid w:val="00CD5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2965"/>
  <w15:chartTrackingRefBased/>
  <w15:docId w15:val="{C3D391EE-FF51-4A39-80D1-E74FAD22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4DE"/>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6854DE"/>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854DE"/>
    <w:rPr>
      <w:rFonts w:ascii="Arial" w:eastAsia="Times New Roman" w:hAnsi="Arial" w:cs="Arial"/>
      <w:b/>
      <w:sz w:val="36"/>
      <w:szCs w:val="20"/>
      <w:lang w:eastAsia="tr-TR"/>
    </w:rPr>
  </w:style>
  <w:style w:type="table" w:styleId="TabloKlavuzu">
    <w:name w:val="Table Grid"/>
    <w:basedOn w:val="NormalTablo"/>
    <w:uiPriority w:val="39"/>
    <w:rsid w:val="006854DE"/>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6854DE"/>
    <w:pPr>
      <w:spacing w:after="0" w:line="240" w:lineRule="auto"/>
    </w:pPr>
    <w:rPr>
      <w:sz w:val="20"/>
    </w:rPr>
  </w:style>
  <w:style w:type="character" w:customStyle="1" w:styleId="DipnotMetniChar">
    <w:name w:val="Dipnot Metni Char"/>
    <w:basedOn w:val="VarsaylanParagrafYazTipi"/>
    <w:link w:val="DipnotMetni"/>
    <w:rsid w:val="006854DE"/>
    <w:rPr>
      <w:rFonts w:ascii="Arial" w:eastAsia="Times New Roman" w:hAnsi="Arial" w:cs="Arial"/>
      <w:sz w:val="20"/>
      <w:szCs w:val="20"/>
      <w:lang w:eastAsia="tr-TR"/>
    </w:rPr>
  </w:style>
  <w:style w:type="character" w:styleId="DipnotBavurusu">
    <w:name w:val="footnote reference"/>
    <w:basedOn w:val="VarsaylanParagrafYazTipi"/>
    <w:unhideWhenUsed/>
    <w:rsid w:val="006854DE"/>
    <w:rPr>
      <w:vertAlign w:val="superscript"/>
    </w:rPr>
  </w:style>
  <w:style w:type="paragraph" w:styleId="stBilgi">
    <w:name w:val="header"/>
    <w:basedOn w:val="Normal"/>
    <w:link w:val="stBilgiChar"/>
    <w:uiPriority w:val="99"/>
    <w:unhideWhenUsed/>
    <w:rsid w:val="006854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4DE"/>
    <w:rPr>
      <w:rFonts w:ascii="Arial" w:eastAsia="Times New Roman" w:hAnsi="Arial" w:cs="Arial"/>
      <w:szCs w:val="20"/>
      <w:lang w:eastAsia="tr-TR"/>
    </w:rPr>
  </w:style>
  <w:style w:type="paragraph" w:styleId="AltBilgi">
    <w:name w:val="footer"/>
    <w:basedOn w:val="Normal"/>
    <w:link w:val="AltBilgiChar"/>
    <w:uiPriority w:val="99"/>
    <w:unhideWhenUsed/>
    <w:rsid w:val="006854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4DE"/>
    <w:rPr>
      <w:rFonts w:ascii="Arial" w:eastAsia="Times New Roman" w:hAnsi="Arial" w:cs="Arial"/>
      <w:szCs w:val="20"/>
      <w:lang w:eastAsia="tr-TR"/>
    </w:rPr>
  </w:style>
  <w:style w:type="character" w:customStyle="1" w:styleId="document-info-data">
    <w:name w:val="document-info-data"/>
    <w:rsid w:val="000E3656"/>
  </w:style>
  <w:style w:type="table" w:customStyle="1" w:styleId="TableNormal">
    <w:name w:val="Table Normal"/>
    <w:uiPriority w:val="2"/>
    <w:semiHidden/>
    <w:unhideWhenUsed/>
    <w:qFormat/>
    <w:rsid w:val="007969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6995"/>
    <w:pPr>
      <w:widowControl w:val="0"/>
      <w:autoSpaceDE w:val="0"/>
      <w:autoSpaceDN w:val="0"/>
      <w:spacing w:before="2" w:after="0" w:line="240" w:lineRule="auto"/>
      <w:ind w:left="117"/>
    </w:pPr>
    <w:rPr>
      <w:rFonts w:ascii="Times New Roman"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69601E2-1C21-4C7C-8EA8-87B1FE24356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Seren KISAS</cp:lastModifiedBy>
  <cp:revision>5</cp:revision>
  <cp:lastPrinted>2024-01-08T08:32:00Z</cp:lastPrinted>
  <dcterms:created xsi:type="dcterms:W3CDTF">2024-01-08T08:26:00Z</dcterms:created>
  <dcterms:modified xsi:type="dcterms:W3CDTF">2024-01-08T08:33:00Z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42bb1c2b-85db-4479-9940-2d642eaba514</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