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DD699" w14:textId="623915FB" w:rsidR="00F50DB4" w:rsidRDefault="00F50DB4" w:rsidP="00F50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70"/>
        <w:rPr>
          <w:rFonts w:ascii="Arial" w:hAnsi="Arial" w:cs="Arial"/>
          <w:b/>
          <w:bCs/>
          <w:sz w:val="20"/>
          <w:szCs w:val="20"/>
          <w:u w:val="single"/>
        </w:rPr>
      </w:pPr>
      <w:r w:rsidRPr="008D7B7E">
        <w:rPr>
          <w:rFonts w:ascii="Arial" w:hAnsi="Arial" w:cs="Arial"/>
          <w:b/>
          <w:bCs/>
          <w:sz w:val="20"/>
          <w:szCs w:val="20"/>
          <w:u w:val="single"/>
        </w:rPr>
        <w:t>Karar Sayısı : 20</w:t>
      </w:r>
      <w:r>
        <w:rPr>
          <w:rFonts w:ascii="Arial" w:hAnsi="Arial" w:cs="Arial"/>
          <w:b/>
          <w:bCs/>
          <w:sz w:val="20"/>
          <w:szCs w:val="20"/>
          <w:u w:val="single"/>
        </w:rPr>
        <w:t>06</w:t>
      </w:r>
      <w:r>
        <w:rPr>
          <w:rFonts w:ascii="Arial" w:hAnsi="Arial" w:cs="Arial"/>
          <w:b/>
          <w:bCs/>
          <w:sz w:val="20"/>
          <w:szCs w:val="20"/>
          <w:u w:val="single"/>
        </w:rPr>
        <w:t>/</w:t>
      </w:r>
      <w:r>
        <w:rPr>
          <w:rFonts w:ascii="Arial" w:hAnsi="Arial" w:cs="Arial"/>
          <w:b/>
          <w:bCs/>
          <w:sz w:val="20"/>
          <w:szCs w:val="20"/>
          <w:u w:val="single"/>
        </w:rPr>
        <w:t>10731</w:t>
      </w:r>
    </w:p>
    <w:p w14:paraId="4767F3B9" w14:textId="77777777" w:rsidR="00F50DB4" w:rsidRDefault="00F50DB4" w:rsidP="00F50DB4">
      <w:pPr>
        <w:spacing w:after="0" w:line="240" w:lineRule="atLeast"/>
        <w:jc w:val="center"/>
        <w:rPr>
          <w:rFonts w:ascii="Times New Roman" w:eastAsia="Times New Roman" w:hAnsi="Times New Roman" w:cs="Times New Roman"/>
          <w:b/>
          <w:bCs/>
          <w:color w:val="000000"/>
          <w:sz w:val="18"/>
          <w:szCs w:val="18"/>
          <w:lang w:eastAsia="tr-TR"/>
        </w:rPr>
      </w:pPr>
    </w:p>
    <w:p w14:paraId="4DFDC08C" w14:textId="60B60949" w:rsidR="00F50DB4" w:rsidRPr="00F50DB4" w:rsidRDefault="00F50DB4" w:rsidP="00F50DB4">
      <w:pPr>
        <w:spacing w:after="0" w:line="240" w:lineRule="atLeast"/>
        <w:jc w:val="center"/>
        <w:rPr>
          <w:rFonts w:ascii="Arial" w:eastAsia="Times New Roman" w:hAnsi="Arial" w:cs="Arial"/>
          <w:color w:val="000000"/>
          <w:sz w:val="24"/>
          <w:szCs w:val="24"/>
          <w:lang w:eastAsia="tr-TR"/>
        </w:rPr>
      </w:pPr>
      <w:r w:rsidRPr="00F50DB4">
        <w:rPr>
          <w:rFonts w:ascii="Arial" w:eastAsia="Times New Roman" w:hAnsi="Arial" w:cs="Arial"/>
          <w:b/>
          <w:bCs/>
          <w:color w:val="000000"/>
          <w:sz w:val="24"/>
          <w:szCs w:val="24"/>
          <w:lang w:eastAsia="tr-TR"/>
        </w:rPr>
        <w:t>22/7/2006 TARİHLİ VE 2006/10731 SAYILI</w:t>
      </w:r>
      <w:r w:rsidRPr="00F50DB4">
        <w:rPr>
          <w:rFonts w:ascii="Arial" w:eastAsia="Times New Roman" w:hAnsi="Arial" w:cs="Arial"/>
          <w:color w:val="000000"/>
          <w:sz w:val="24"/>
          <w:szCs w:val="24"/>
          <w:lang w:eastAsia="tr-TR"/>
        </w:rPr>
        <w:t xml:space="preserve"> </w:t>
      </w:r>
      <w:r w:rsidRPr="00F50DB4">
        <w:rPr>
          <w:rFonts w:ascii="Arial" w:eastAsia="Times New Roman" w:hAnsi="Arial" w:cs="Arial"/>
          <w:b/>
          <w:bCs/>
          <w:color w:val="000000"/>
          <w:sz w:val="24"/>
          <w:szCs w:val="24"/>
          <w:lang w:eastAsia="tr-TR"/>
        </w:rPr>
        <w:t>KARARNAMENİN EKİ </w:t>
      </w:r>
      <w:r w:rsidRPr="00F50DB4">
        <w:rPr>
          <w:rFonts w:ascii="Arial" w:eastAsia="Times New Roman" w:hAnsi="Arial" w:cs="Arial"/>
          <w:color w:val="000000"/>
          <w:sz w:val="24"/>
          <w:szCs w:val="24"/>
          <w:lang w:eastAsia="tr-TR"/>
        </w:rPr>
        <w:t xml:space="preserve"> </w:t>
      </w:r>
      <w:r w:rsidRPr="00F50DB4">
        <w:rPr>
          <w:rFonts w:ascii="Arial" w:eastAsia="Times New Roman" w:hAnsi="Arial" w:cs="Arial"/>
          <w:b/>
          <w:bCs/>
          <w:color w:val="000000"/>
          <w:sz w:val="24"/>
          <w:szCs w:val="24"/>
          <w:u w:val="single"/>
          <w:lang w:eastAsia="tr-TR"/>
        </w:rPr>
        <w:t>KARAR</w:t>
      </w:r>
    </w:p>
    <w:p w14:paraId="1AD0900E" w14:textId="77777777" w:rsidR="00F50DB4" w:rsidRP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Cs/>
          <w:color w:val="000000"/>
          <w:kern w:val="16"/>
          <w:sz w:val="20"/>
          <w:szCs w:val="20"/>
        </w:rPr>
        <w:t> </w:t>
      </w:r>
    </w:p>
    <w:p w14:paraId="4E3330B8" w14:textId="2A383239" w:rsidR="00F50DB4" w:rsidRP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
          <w:bCs/>
          <w:color w:val="000000"/>
          <w:kern w:val="16"/>
          <w:sz w:val="20"/>
          <w:szCs w:val="20"/>
        </w:rPr>
        <w:t>MADDE 1 –</w:t>
      </w:r>
      <w:r w:rsidRPr="00F50DB4">
        <w:rPr>
          <w:rFonts w:ascii="Arial" w:hAnsi="Arial" w:cs="Arial"/>
          <w:bCs/>
          <w:color w:val="000000"/>
          <w:kern w:val="16"/>
          <w:sz w:val="20"/>
          <w:szCs w:val="20"/>
        </w:rPr>
        <w:t> 193 sayılı Gelir Vergisi Kanununun geçici 67 nci maddesinde yer alan bazı kazanç ve iratlardan yapılacak tevkifat oranları aşağıdaki şekilde tespit edilmiştir.</w:t>
      </w:r>
    </w:p>
    <w:p w14:paraId="1CE0CF33" w14:textId="053BDA28" w:rsidR="00F50DB4" w:rsidRP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Cs/>
          <w:color w:val="000000"/>
          <w:kern w:val="16"/>
          <w:sz w:val="20"/>
          <w:szCs w:val="20"/>
        </w:rPr>
        <w:t>a) Dar mükellef gerçek kişi ve kurumlar tarafından elde edilenler hariç olmak üzere; (1), (2) ve (3) numaralı fıkralarda yer alan gelirler için % 10,</w:t>
      </w:r>
    </w:p>
    <w:p w14:paraId="77798E86" w14:textId="148C1ADB" w:rsidR="00F50DB4" w:rsidRP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Cs/>
          <w:color w:val="000000"/>
          <w:kern w:val="16"/>
          <w:sz w:val="20"/>
          <w:szCs w:val="20"/>
        </w:rPr>
        <w:t>b) (8) numaralı fıkrada yer alan Sermaye Piyasası Kanununa göre kurulan menkul kıymetler yatırım fonları (borsa yatırım fonları ile konut finansmanı fonları ve varlık finansmanı fonları dahil) ile menkul kıymetler yatırım ortaklıklarının portföy işletmeciliği kazançları üzerinden;</w:t>
      </w:r>
    </w:p>
    <w:p w14:paraId="0D5D90F6" w14:textId="53255D14" w:rsidR="00F50DB4" w:rsidRP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Cs/>
          <w:color w:val="000000"/>
          <w:kern w:val="16"/>
          <w:sz w:val="20"/>
          <w:szCs w:val="20"/>
        </w:rPr>
        <w:t>1) Borsa yatırım fonları ile konut finansmanı fonları ve varlık finansmanı fonları için % 0,</w:t>
      </w:r>
    </w:p>
    <w:p w14:paraId="598EDE98" w14:textId="10C99F88" w:rsidR="00F50DB4" w:rsidRP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Cs/>
          <w:color w:val="000000"/>
          <w:kern w:val="16"/>
          <w:sz w:val="20"/>
          <w:szCs w:val="20"/>
        </w:rPr>
        <w:t>2) (1) numaralı alt bent dışında kalanlar için 1 Ekim 2006 tarihine kadar uygulanmak üzere % 10, 1 Ekim 2006 tarihinden itibaren uygulanmak üzere % 0,</w:t>
      </w:r>
    </w:p>
    <w:p w14:paraId="58FE5405" w14:textId="3F5AAE1C" w:rsidR="00F50DB4" w:rsidRP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Cs/>
          <w:color w:val="000000"/>
          <w:kern w:val="16"/>
          <w:sz w:val="20"/>
          <w:szCs w:val="20"/>
        </w:rPr>
        <w:t>c) Sermaye Piyasası Kanununa göre kurulan menkul kıymetler yatırım fonları (borsa yatırım fonları ile konut finansmanı fonları ve varlık finansmanı fonları dahil) ile menkul kıymetler yatırım ortaklıklarının (1), (2), (3) ve (4) numaralı fıkralarda belirtilen gelirleri  üzerinden yapılacak tevkifat oranları;</w:t>
      </w:r>
    </w:p>
    <w:p w14:paraId="2FEA25C0" w14:textId="0BCC96A9" w:rsidR="00F50DB4" w:rsidRP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Cs/>
          <w:color w:val="000000"/>
          <w:kern w:val="16"/>
          <w:sz w:val="20"/>
          <w:szCs w:val="20"/>
        </w:rPr>
        <w:t>1) Borsa yatırım fonları ile konut finansmanı fonları ve varlık finansmanı fonları için % 0,</w:t>
      </w:r>
    </w:p>
    <w:p w14:paraId="44B6F9BC" w14:textId="6041A299" w:rsidR="00F50DB4" w:rsidRP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Cs/>
          <w:color w:val="000000"/>
          <w:kern w:val="16"/>
          <w:sz w:val="20"/>
          <w:szCs w:val="20"/>
        </w:rPr>
        <w:t>2) (1) numaralı alt bent dışında kalanlar için 1 Ekim 2006 tarihine kadar uygulanmak üzere % 10, 1 Ekim 2006 tarihinden itibaren uygulanmak üzere % 0,</w:t>
      </w:r>
    </w:p>
    <w:p w14:paraId="3A9789F9" w14:textId="36252031" w:rsid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Cs/>
          <w:color w:val="000000"/>
          <w:kern w:val="16"/>
          <w:sz w:val="20"/>
          <w:szCs w:val="20"/>
        </w:rPr>
        <w:t>ç) (11) numaralı fıkrada yer alan oran % 10.</w:t>
      </w:r>
    </w:p>
    <w:p w14:paraId="4950D96F" w14:textId="77777777" w:rsidR="00F50DB4" w:rsidRPr="00F50DB4" w:rsidRDefault="00F50DB4" w:rsidP="00F50DB4">
      <w:pPr>
        <w:spacing w:after="0" w:line="276" w:lineRule="auto"/>
        <w:ind w:left="170"/>
        <w:jc w:val="both"/>
        <w:rPr>
          <w:rFonts w:ascii="Arial" w:hAnsi="Arial" w:cs="Arial"/>
          <w:bCs/>
          <w:color w:val="000000"/>
          <w:kern w:val="16"/>
          <w:sz w:val="20"/>
          <w:szCs w:val="20"/>
        </w:rPr>
      </w:pPr>
    </w:p>
    <w:p w14:paraId="6294E5C7" w14:textId="2FC308FC" w:rsidR="00F50DB4" w:rsidRP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
          <w:bCs/>
          <w:color w:val="000000"/>
          <w:kern w:val="16"/>
          <w:sz w:val="20"/>
          <w:szCs w:val="20"/>
        </w:rPr>
        <w:t>MADDE 2 –</w:t>
      </w:r>
      <w:r w:rsidRPr="00F50DB4">
        <w:rPr>
          <w:rFonts w:ascii="Arial" w:hAnsi="Arial" w:cs="Arial"/>
          <w:bCs/>
          <w:color w:val="000000"/>
          <w:kern w:val="16"/>
          <w:sz w:val="20"/>
          <w:szCs w:val="20"/>
        </w:rPr>
        <w:t> 5520 sayılı Kurumlar Vergisi Kanununun 15 inci ve 30 uncu maddelerinde yer alan bazı tevkifat oranları aşağıdaki şekilde tespit edilmiştir.</w:t>
      </w:r>
    </w:p>
    <w:p w14:paraId="053FF8B6" w14:textId="180B6B9F" w:rsidR="00F50DB4" w:rsidRP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Cs/>
          <w:color w:val="000000"/>
          <w:kern w:val="16"/>
          <w:sz w:val="20"/>
          <w:szCs w:val="20"/>
        </w:rPr>
        <w:t>a) 15 inci maddenin (2) numaralı fıkrasında yazılı kâr payları üzerinden % 15,</w:t>
      </w:r>
    </w:p>
    <w:p w14:paraId="02350370" w14:textId="6812A130" w:rsid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Cs/>
          <w:color w:val="000000"/>
          <w:kern w:val="16"/>
          <w:sz w:val="20"/>
          <w:szCs w:val="20"/>
        </w:rPr>
        <w:t>b) 30 uncu maddenin (3) numaralı fıkrasında yazılı kâr payları ile (6) numaralı fıkrasında yazılı ana merkeze aktarılan tutar üzerinden % 15.</w:t>
      </w:r>
    </w:p>
    <w:p w14:paraId="7B063F44" w14:textId="77777777" w:rsidR="00F50DB4" w:rsidRPr="00F50DB4" w:rsidRDefault="00F50DB4" w:rsidP="00F50DB4">
      <w:pPr>
        <w:spacing w:after="0" w:line="276" w:lineRule="auto"/>
        <w:ind w:left="170"/>
        <w:jc w:val="both"/>
        <w:rPr>
          <w:rFonts w:ascii="Arial" w:hAnsi="Arial" w:cs="Arial"/>
          <w:b/>
          <w:bCs/>
          <w:color w:val="000000"/>
          <w:kern w:val="16"/>
          <w:sz w:val="20"/>
          <w:szCs w:val="20"/>
        </w:rPr>
      </w:pPr>
    </w:p>
    <w:p w14:paraId="46D17E55" w14:textId="121C697A" w:rsidR="00F50DB4" w:rsidRP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
          <w:bCs/>
          <w:color w:val="000000"/>
          <w:kern w:val="16"/>
          <w:sz w:val="20"/>
          <w:szCs w:val="20"/>
        </w:rPr>
        <w:t>MADDE 3 –</w:t>
      </w:r>
      <w:r w:rsidRPr="00F50DB4">
        <w:rPr>
          <w:rFonts w:ascii="Arial" w:hAnsi="Arial" w:cs="Arial"/>
          <w:bCs/>
          <w:color w:val="000000"/>
          <w:kern w:val="16"/>
          <w:sz w:val="20"/>
          <w:szCs w:val="20"/>
        </w:rPr>
        <w:t> 10/12/2003 tarihli ve 2003/6577 sayılı Kararnamenin eki Kararın 1 inci maddesinin (6) numaralı bendinin (b) alt bendi aşağıdaki şekilde değiştirilmiştir.</w:t>
      </w:r>
    </w:p>
    <w:p w14:paraId="6DE867E2" w14:textId="3981EB7F" w:rsidR="00F50DB4" w:rsidRP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Cs/>
          <w:color w:val="000000"/>
          <w:kern w:val="16"/>
          <w:sz w:val="20"/>
          <w:szCs w:val="20"/>
        </w:rPr>
        <w:t>"b-i) Tam mükellef kurumlar tarafından; tam mükellef gerçek kişilere, gelir ve kurumlar vergisi mükellefi olmayanlara ve gelir vergisinden muaf olanlara dağıtılan, 75 inci maddenin ikinci fıkrasının (1), (2) ve (3) numaralı bentlerinde yazılı kâr paylarından (kârın sermayeye eklenmesi kâr dağıtımı sayılmaz) % 15,</w:t>
      </w:r>
    </w:p>
    <w:p w14:paraId="07E63441" w14:textId="1FD327BA" w:rsid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Cs/>
          <w:color w:val="000000"/>
          <w:kern w:val="16"/>
          <w:sz w:val="20"/>
          <w:szCs w:val="20"/>
        </w:rPr>
        <w:t>ii) Tam mükellef kurumlar tarafından; dar mükellef gerçek kişilere ve gelir vergisinden muaf olan dar mükelleflere dağıtılan, 75 inci maddenin ikinci fıkrasının (1), (2) ve (3) numaralı bentlerinde yazılı kâr paylarından (kârın sermayeye eklenmesi kâr dağıtımı sayılmaz) % 15,"</w:t>
      </w:r>
    </w:p>
    <w:p w14:paraId="177FEFF7" w14:textId="77777777" w:rsidR="00F50DB4" w:rsidRPr="00F50DB4" w:rsidRDefault="00F50DB4" w:rsidP="00F50DB4">
      <w:pPr>
        <w:spacing w:after="0" w:line="276" w:lineRule="auto"/>
        <w:ind w:left="170"/>
        <w:jc w:val="both"/>
        <w:rPr>
          <w:rFonts w:ascii="Arial" w:hAnsi="Arial" w:cs="Arial"/>
          <w:bCs/>
          <w:color w:val="000000"/>
          <w:kern w:val="16"/>
          <w:sz w:val="20"/>
          <w:szCs w:val="20"/>
        </w:rPr>
      </w:pPr>
    </w:p>
    <w:p w14:paraId="256F4B80" w14:textId="7DAFD9F1" w:rsid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
          <w:bCs/>
          <w:color w:val="000000"/>
          <w:kern w:val="16"/>
          <w:sz w:val="20"/>
          <w:szCs w:val="20"/>
        </w:rPr>
        <w:t>MADDE 4 –</w:t>
      </w:r>
      <w:r w:rsidRPr="00F50DB4">
        <w:rPr>
          <w:rFonts w:ascii="Arial" w:hAnsi="Arial" w:cs="Arial"/>
          <w:bCs/>
          <w:color w:val="000000"/>
          <w:kern w:val="16"/>
          <w:sz w:val="20"/>
          <w:szCs w:val="20"/>
        </w:rPr>
        <w:t> Bu Kararın 1 inci maddesinin (b) bendinin (1) numaralı alt bendi ile aynı maddenin (c) bendinin (1) numaralı alt bendi 1 Ekim 2006 tarihinde, diğer hükümleri yayımı tarihinde yürürlüğe girer.</w:t>
      </w:r>
    </w:p>
    <w:p w14:paraId="19AED154" w14:textId="77777777" w:rsidR="00F50DB4" w:rsidRPr="00F50DB4" w:rsidRDefault="00F50DB4" w:rsidP="00F50DB4">
      <w:pPr>
        <w:spacing w:after="0" w:line="276" w:lineRule="auto"/>
        <w:ind w:left="170"/>
        <w:jc w:val="both"/>
        <w:rPr>
          <w:rFonts w:ascii="Arial" w:hAnsi="Arial" w:cs="Arial"/>
          <w:bCs/>
          <w:color w:val="000000"/>
          <w:kern w:val="16"/>
          <w:sz w:val="20"/>
          <w:szCs w:val="20"/>
        </w:rPr>
      </w:pPr>
    </w:p>
    <w:p w14:paraId="39B03595" w14:textId="44372F0A" w:rsidR="00F50DB4" w:rsidRP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
          <w:bCs/>
          <w:color w:val="000000"/>
          <w:kern w:val="16"/>
          <w:sz w:val="20"/>
          <w:szCs w:val="20"/>
        </w:rPr>
        <w:t>MADDE 5 –</w:t>
      </w:r>
      <w:r w:rsidRPr="00F50DB4">
        <w:rPr>
          <w:rFonts w:ascii="Arial" w:hAnsi="Arial" w:cs="Arial"/>
          <w:bCs/>
          <w:color w:val="000000"/>
          <w:kern w:val="16"/>
          <w:sz w:val="20"/>
          <w:szCs w:val="20"/>
        </w:rPr>
        <w:t> Bu Karar hükümlerini Maliye Bakanı yürütür.</w:t>
      </w:r>
    </w:p>
    <w:p w14:paraId="380464EE" w14:textId="77777777" w:rsidR="00F50DB4" w:rsidRPr="00F50DB4" w:rsidRDefault="00F50DB4" w:rsidP="00F50DB4">
      <w:pPr>
        <w:spacing w:after="0" w:line="276" w:lineRule="auto"/>
        <w:ind w:left="170"/>
        <w:jc w:val="both"/>
        <w:rPr>
          <w:rFonts w:ascii="Arial" w:hAnsi="Arial" w:cs="Arial"/>
          <w:bCs/>
          <w:color w:val="000000"/>
          <w:kern w:val="16"/>
          <w:sz w:val="20"/>
          <w:szCs w:val="20"/>
        </w:rPr>
      </w:pPr>
      <w:r w:rsidRPr="00F50DB4">
        <w:rPr>
          <w:rFonts w:ascii="Arial" w:hAnsi="Arial" w:cs="Arial"/>
          <w:bCs/>
          <w:color w:val="000000"/>
          <w:kern w:val="16"/>
          <w:sz w:val="20"/>
          <w:szCs w:val="20"/>
        </w:rPr>
        <w:t> </w:t>
      </w:r>
    </w:p>
    <w:tbl>
      <w:tblPr>
        <w:tblW w:w="0" w:type="auto"/>
        <w:tblInd w:w="40" w:type="dxa"/>
        <w:tblLayout w:type="fixed"/>
        <w:tblCellMar>
          <w:left w:w="40" w:type="dxa"/>
          <w:right w:w="40" w:type="dxa"/>
        </w:tblCellMar>
        <w:tblLook w:val="0000" w:firstRow="0" w:lastRow="0" w:firstColumn="0" w:lastColumn="0" w:noHBand="0" w:noVBand="0"/>
      </w:tblPr>
      <w:tblGrid>
        <w:gridCol w:w="3434"/>
        <w:gridCol w:w="4740"/>
      </w:tblGrid>
      <w:tr w:rsidR="00F50DB4" w:rsidRPr="006542FF" w14:paraId="121B69B7" w14:textId="77777777" w:rsidTr="00044C80">
        <w:trPr>
          <w:trHeight w:hRule="exact" w:val="241"/>
        </w:trPr>
        <w:tc>
          <w:tcPr>
            <w:tcW w:w="8174" w:type="dxa"/>
            <w:gridSpan w:val="2"/>
            <w:tcBorders>
              <w:top w:val="single" w:sz="6" w:space="0" w:color="auto"/>
              <w:left w:val="single" w:sz="6" w:space="0" w:color="auto"/>
              <w:bottom w:val="single" w:sz="6" w:space="0" w:color="auto"/>
              <w:right w:val="single" w:sz="6" w:space="0" w:color="auto"/>
            </w:tcBorders>
            <w:shd w:val="clear" w:color="auto" w:fill="FFFFFF"/>
          </w:tcPr>
          <w:p w14:paraId="5124710E" w14:textId="77777777" w:rsidR="00F50DB4" w:rsidRPr="00D31551" w:rsidRDefault="00F50DB4" w:rsidP="00044C80">
            <w:pPr>
              <w:jc w:val="center"/>
              <w:rPr>
                <w:rFonts w:ascii="Arial" w:hAnsi="Arial" w:cs="Arial"/>
                <w:b/>
                <w:kern w:val="20"/>
                <w:sz w:val="20"/>
                <w:szCs w:val="20"/>
              </w:rPr>
            </w:pPr>
            <w:r w:rsidRPr="00D31551">
              <w:rPr>
                <w:rFonts w:ascii="Arial" w:hAnsi="Arial" w:cs="Arial"/>
                <w:b/>
                <w:kern w:val="20"/>
                <w:sz w:val="20"/>
                <w:szCs w:val="20"/>
              </w:rPr>
              <w:t>Bakanlar Kurulu Kararının Yayımlandığı Resmi Gazetenin</w:t>
            </w:r>
          </w:p>
          <w:p w14:paraId="7E11F61B" w14:textId="77777777" w:rsidR="00F50DB4" w:rsidRPr="006542FF" w:rsidRDefault="00F50DB4" w:rsidP="00044C80">
            <w:pPr>
              <w:widowControl w:val="0"/>
              <w:shd w:val="clear" w:color="auto" w:fill="FFFFFF"/>
              <w:autoSpaceDE w:val="0"/>
              <w:autoSpaceDN w:val="0"/>
              <w:adjustRightInd w:val="0"/>
              <w:jc w:val="center"/>
              <w:rPr>
                <w:rFonts w:ascii="Arial" w:hAnsi="Arial" w:cs="Arial"/>
                <w:color w:val="000000"/>
                <w:sz w:val="20"/>
                <w:szCs w:val="20"/>
              </w:rPr>
            </w:pPr>
          </w:p>
        </w:tc>
      </w:tr>
      <w:tr w:rsidR="00F50DB4" w:rsidRPr="006542FF" w14:paraId="0116CEBE" w14:textId="77777777" w:rsidTr="00044C80">
        <w:trPr>
          <w:trHeight w:hRule="exact" w:val="241"/>
        </w:trPr>
        <w:tc>
          <w:tcPr>
            <w:tcW w:w="3434" w:type="dxa"/>
            <w:tcBorders>
              <w:top w:val="single" w:sz="6" w:space="0" w:color="auto"/>
              <w:left w:val="single" w:sz="6" w:space="0" w:color="auto"/>
              <w:bottom w:val="single" w:sz="6" w:space="0" w:color="auto"/>
              <w:right w:val="single" w:sz="6" w:space="0" w:color="auto"/>
            </w:tcBorders>
            <w:shd w:val="clear" w:color="auto" w:fill="FFFFFF"/>
          </w:tcPr>
          <w:p w14:paraId="40B3475B" w14:textId="77777777" w:rsidR="00F50DB4" w:rsidRPr="00D31551" w:rsidRDefault="00F50DB4" w:rsidP="00044C80">
            <w:pPr>
              <w:jc w:val="center"/>
              <w:rPr>
                <w:rFonts w:ascii="Arial" w:hAnsi="Arial" w:cs="Arial"/>
                <w:b/>
                <w:kern w:val="20"/>
                <w:sz w:val="20"/>
                <w:szCs w:val="20"/>
              </w:rPr>
            </w:pPr>
            <w:r w:rsidRPr="00D31551">
              <w:rPr>
                <w:rFonts w:ascii="Arial" w:hAnsi="Arial" w:cs="Arial"/>
                <w:b/>
                <w:kern w:val="20"/>
                <w:sz w:val="20"/>
                <w:szCs w:val="20"/>
              </w:rPr>
              <w:t>Tarihi</w:t>
            </w:r>
          </w:p>
        </w:tc>
        <w:tc>
          <w:tcPr>
            <w:tcW w:w="4740" w:type="dxa"/>
            <w:tcBorders>
              <w:top w:val="single" w:sz="6" w:space="0" w:color="auto"/>
              <w:left w:val="single" w:sz="6" w:space="0" w:color="auto"/>
              <w:bottom w:val="single" w:sz="6" w:space="0" w:color="auto"/>
              <w:right w:val="single" w:sz="6" w:space="0" w:color="auto"/>
            </w:tcBorders>
            <w:shd w:val="clear" w:color="auto" w:fill="FFFFFF"/>
          </w:tcPr>
          <w:p w14:paraId="38C5388A" w14:textId="77777777" w:rsidR="00F50DB4" w:rsidRPr="00D31551" w:rsidRDefault="00F50DB4" w:rsidP="00044C80">
            <w:pPr>
              <w:jc w:val="center"/>
              <w:rPr>
                <w:rFonts w:ascii="Arial" w:hAnsi="Arial" w:cs="Arial"/>
                <w:b/>
                <w:kern w:val="20"/>
                <w:sz w:val="20"/>
                <w:szCs w:val="20"/>
              </w:rPr>
            </w:pPr>
            <w:r w:rsidRPr="00D31551">
              <w:rPr>
                <w:rFonts w:ascii="Arial" w:hAnsi="Arial" w:cs="Arial"/>
                <w:b/>
                <w:kern w:val="20"/>
                <w:sz w:val="20"/>
                <w:szCs w:val="20"/>
              </w:rPr>
              <w:t>Sayısı</w:t>
            </w:r>
          </w:p>
        </w:tc>
      </w:tr>
      <w:tr w:rsidR="00F50DB4" w:rsidRPr="006542FF" w14:paraId="0A45204B" w14:textId="77777777" w:rsidTr="00044C80">
        <w:trPr>
          <w:trHeight w:hRule="exact" w:val="241"/>
        </w:trPr>
        <w:tc>
          <w:tcPr>
            <w:tcW w:w="3434" w:type="dxa"/>
            <w:tcBorders>
              <w:top w:val="single" w:sz="6" w:space="0" w:color="auto"/>
              <w:left w:val="single" w:sz="6" w:space="0" w:color="auto"/>
              <w:bottom w:val="single" w:sz="6" w:space="0" w:color="auto"/>
              <w:right w:val="single" w:sz="6" w:space="0" w:color="auto"/>
            </w:tcBorders>
            <w:shd w:val="clear" w:color="auto" w:fill="FFFFFF"/>
          </w:tcPr>
          <w:p w14:paraId="630602DF" w14:textId="77777777" w:rsidR="00F50DB4" w:rsidRPr="00D31551" w:rsidRDefault="00F50DB4" w:rsidP="00044C80">
            <w:pPr>
              <w:jc w:val="center"/>
              <w:rPr>
                <w:rFonts w:ascii="Arial" w:hAnsi="Arial" w:cs="Arial"/>
                <w:kern w:val="20"/>
                <w:sz w:val="20"/>
                <w:szCs w:val="20"/>
              </w:rPr>
            </w:pPr>
            <w:r w:rsidRPr="00D31551">
              <w:rPr>
                <w:rFonts w:ascii="Arial" w:hAnsi="Arial" w:cs="Arial"/>
                <w:kern w:val="20"/>
                <w:sz w:val="20"/>
                <w:szCs w:val="20"/>
              </w:rPr>
              <w:t>23/7/2006</w:t>
            </w:r>
          </w:p>
        </w:tc>
        <w:tc>
          <w:tcPr>
            <w:tcW w:w="4740" w:type="dxa"/>
            <w:tcBorders>
              <w:top w:val="single" w:sz="6" w:space="0" w:color="auto"/>
              <w:left w:val="single" w:sz="6" w:space="0" w:color="auto"/>
              <w:bottom w:val="single" w:sz="6" w:space="0" w:color="auto"/>
              <w:right w:val="single" w:sz="6" w:space="0" w:color="auto"/>
            </w:tcBorders>
            <w:shd w:val="clear" w:color="auto" w:fill="FFFFFF"/>
          </w:tcPr>
          <w:p w14:paraId="78A91986" w14:textId="77777777" w:rsidR="00F50DB4" w:rsidRPr="00D31551" w:rsidRDefault="00F50DB4" w:rsidP="00044C80">
            <w:pPr>
              <w:jc w:val="center"/>
              <w:rPr>
                <w:rFonts w:ascii="Arial" w:hAnsi="Arial" w:cs="Arial"/>
                <w:kern w:val="20"/>
                <w:sz w:val="20"/>
                <w:szCs w:val="20"/>
              </w:rPr>
            </w:pPr>
            <w:r w:rsidRPr="00D31551">
              <w:rPr>
                <w:rFonts w:ascii="Arial" w:hAnsi="Arial" w:cs="Arial"/>
                <w:kern w:val="20"/>
                <w:sz w:val="20"/>
                <w:szCs w:val="20"/>
              </w:rPr>
              <w:t>26237</w:t>
            </w:r>
          </w:p>
        </w:tc>
      </w:tr>
    </w:tbl>
    <w:p w14:paraId="7B09A9AC" w14:textId="2D6E8EE3" w:rsidR="00A174FE" w:rsidRDefault="00A174FE"/>
    <w:tbl>
      <w:tblPr>
        <w:tblStyle w:val="TabloKlavuzu"/>
        <w:tblW w:w="9395" w:type="dxa"/>
        <w:jc w:val="center"/>
        <w:tblLook w:val="04A0" w:firstRow="1" w:lastRow="0" w:firstColumn="1" w:lastColumn="0" w:noHBand="0" w:noVBand="1"/>
      </w:tblPr>
      <w:tblGrid>
        <w:gridCol w:w="4696"/>
        <w:gridCol w:w="4699"/>
      </w:tblGrid>
      <w:tr w:rsidR="00F50DB4" w14:paraId="5F19A63E" w14:textId="77777777" w:rsidTr="00044C80">
        <w:trPr>
          <w:trHeight w:val="203"/>
          <w:jc w:val="center"/>
        </w:trPr>
        <w:tc>
          <w:tcPr>
            <w:tcW w:w="9395" w:type="dxa"/>
            <w:gridSpan w:val="2"/>
          </w:tcPr>
          <w:p w14:paraId="2897B579" w14:textId="77777777" w:rsidR="00F50DB4" w:rsidRPr="005D113E" w:rsidRDefault="00F50DB4" w:rsidP="00044C80">
            <w:pPr>
              <w:jc w:val="center"/>
              <w:rPr>
                <w:rFonts w:ascii="Arial" w:hAnsi="Arial" w:cs="Arial"/>
                <w:b/>
              </w:rPr>
            </w:pPr>
            <w:r w:rsidRPr="00366474">
              <w:rPr>
                <w:rFonts w:ascii="Arial" w:eastAsiaTheme="minorHAnsi" w:hAnsi="Arial" w:cs="Arial"/>
                <w:b/>
              </w:rPr>
              <w:t>Karar’ın</w:t>
            </w:r>
          </w:p>
        </w:tc>
      </w:tr>
      <w:tr w:rsidR="00F50DB4" w14:paraId="1896FE8E" w14:textId="77777777" w:rsidTr="00044C80">
        <w:trPr>
          <w:trHeight w:val="408"/>
          <w:jc w:val="center"/>
        </w:trPr>
        <w:tc>
          <w:tcPr>
            <w:tcW w:w="4696" w:type="dxa"/>
          </w:tcPr>
          <w:p w14:paraId="760B76B5" w14:textId="77777777" w:rsidR="00F50DB4" w:rsidRPr="00366474" w:rsidRDefault="00F50DB4" w:rsidP="00044C80">
            <w:pPr>
              <w:jc w:val="center"/>
              <w:rPr>
                <w:rFonts w:ascii="Arial" w:eastAsiaTheme="minorHAnsi" w:hAnsi="Arial" w:cs="Arial"/>
                <w:b/>
              </w:rPr>
            </w:pPr>
            <w:r w:rsidRPr="00366474">
              <w:rPr>
                <w:rFonts w:ascii="Arial" w:eastAsiaTheme="minorHAnsi" w:hAnsi="Arial" w:cs="Arial"/>
                <w:b/>
              </w:rPr>
              <w:t>Numarası</w:t>
            </w:r>
          </w:p>
        </w:tc>
        <w:tc>
          <w:tcPr>
            <w:tcW w:w="4699" w:type="dxa"/>
          </w:tcPr>
          <w:p w14:paraId="30D5E3F5" w14:textId="77777777" w:rsidR="00F50DB4" w:rsidRPr="00366474" w:rsidRDefault="00F50DB4" w:rsidP="00044C80">
            <w:pPr>
              <w:jc w:val="center"/>
              <w:rPr>
                <w:rFonts w:ascii="Arial" w:eastAsiaTheme="minorHAnsi" w:hAnsi="Arial" w:cs="Arial"/>
                <w:b/>
              </w:rPr>
            </w:pPr>
            <w:r w:rsidRPr="00366474">
              <w:rPr>
                <w:rFonts w:ascii="Arial" w:eastAsiaTheme="minorHAnsi" w:hAnsi="Arial" w:cs="Arial"/>
                <w:b/>
              </w:rPr>
              <w:t>Yürürlüğe Giriş Tarihi</w:t>
            </w:r>
          </w:p>
        </w:tc>
      </w:tr>
      <w:tr w:rsidR="00F50DB4" w14:paraId="4D5249C0" w14:textId="77777777" w:rsidTr="00044C80">
        <w:trPr>
          <w:trHeight w:val="194"/>
          <w:jc w:val="center"/>
        </w:trPr>
        <w:tc>
          <w:tcPr>
            <w:tcW w:w="4696" w:type="dxa"/>
          </w:tcPr>
          <w:p w14:paraId="73B04B2D" w14:textId="29CF9E59" w:rsidR="00F50DB4" w:rsidRPr="00366474" w:rsidRDefault="00F50DB4" w:rsidP="00044C80">
            <w:pPr>
              <w:jc w:val="center"/>
              <w:rPr>
                <w:rFonts w:ascii="Arial" w:eastAsiaTheme="minorHAnsi" w:hAnsi="Arial" w:cs="Arial"/>
              </w:rPr>
            </w:pPr>
            <w:r>
              <w:rPr>
                <w:rFonts w:ascii="Arial" w:eastAsiaTheme="minorHAnsi" w:hAnsi="Arial" w:cs="Arial"/>
              </w:rPr>
              <w:t>20</w:t>
            </w:r>
            <w:r>
              <w:rPr>
                <w:rFonts w:ascii="Arial" w:eastAsiaTheme="minorHAnsi" w:hAnsi="Arial" w:cs="Arial"/>
              </w:rPr>
              <w:t>06</w:t>
            </w:r>
            <w:r>
              <w:rPr>
                <w:rFonts w:ascii="Arial" w:eastAsiaTheme="minorHAnsi" w:hAnsi="Arial" w:cs="Arial"/>
              </w:rPr>
              <w:t>/</w:t>
            </w:r>
            <w:r>
              <w:rPr>
                <w:rFonts w:ascii="Arial" w:eastAsiaTheme="minorHAnsi" w:hAnsi="Arial" w:cs="Arial"/>
              </w:rPr>
              <w:t>10731</w:t>
            </w:r>
          </w:p>
        </w:tc>
        <w:tc>
          <w:tcPr>
            <w:tcW w:w="4699" w:type="dxa"/>
          </w:tcPr>
          <w:p w14:paraId="4D40E306" w14:textId="4B707C96" w:rsidR="00F50DB4" w:rsidRPr="00366474" w:rsidRDefault="00F50DB4" w:rsidP="00044C80">
            <w:pPr>
              <w:jc w:val="center"/>
              <w:rPr>
                <w:rFonts w:ascii="Arial" w:eastAsiaTheme="minorHAnsi" w:hAnsi="Arial" w:cs="Arial"/>
              </w:rPr>
            </w:pPr>
            <w:r>
              <w:rPr>
                <w:rFonts w:ascii="Arial" w:eastAsiaTheme="minorHAnsi" w:hAnsi="Arial" w:cs="Arial"/>
              </w:rPr>
              <w:t>23.07.2006 / 01.10.2006</w:t>
            </w:r>
          </w:p>
        </w:tc>
      </w:tr>
      <w:tr w:rsidR="00F50DB4" w14:paraId="147ED978" w14:textId="77777777" w:rsidTr="00044C80">
        <w:trPr>
          <w:trHeight w:val="203"/>
          <w:jc w:val="center"/>
        </w:trPr>
        <w:tc>
          <w:tcPr>
            <w:tcW w:w="9395" w:type="dxa"/>
            <w:gridSpan w:val="2"/>
          </w:tcPr>
          <w:p w14:paraId="68E42C28" w14:textId="77777777" w:rsidR="00F50DB4" w:rsidRPr="00366474" w:rsidRDefault="00F50DB4" w:rsidP="00044C80">
            <w:pPr>
              <w:jc w:val="center"/>
              <w:rPr>
                <w:rFonts w:ascii="Arial" w:eastAsiaTheme="minorHAnsi" w:hAnsi="Arial" w:cs="Arial"/>
                <w:b/>
              </w:rPr>
            </w:pPr>
            <w:r w:rsidRPr="00366474">
              <w:rPr>
                <w:rFonts w:ascii="Arial" w:eastAsiaTheme="minorHAnsi" w:hAnsi="Arial" w:cs="Arial"/>
                <w:b/>
              </w:rPr>
              <w:t>Karar’ın Yayımlandığı Resmi Gazete’nin</w:t>
            </w:r>
          </w:p>
        </w:tc>
      </w:tr>
      <w:tr w:rsidR="00F50DB4" w14:paraId="3123E73F" w14:textId="77777777" w:rsidTr="00044C80">
        <w:trPr>
          <w:trHeight w:val="203"/>
          <w:jc w:val="center"/>
        </w:trPr>
        <w:tc>
          <w:tcPr>
            <w:tcW w:w="4696" w:type="dxa"/>
          </w:tcPr>
          <w:p w14:paraId="61698963" w14:textId="77777777" w:rsidR="00F50DB4" w:rsidRPr="00366474" w:rsidRDefault="00F50DB4" w:rsidP="00044C80">
            <w:pPr>
              <w:jc w:val="center"/>
              <w:rPr>
                <w:rFonts w:ascii="Arial" w:eastAsiaTheme="minorHAnsi" w:hAnsi="Arial" w:cs="Arial"/>
                <w:b/>
              </w:rPr>
            </w:pPr>
            <w:r w:rsidRPr="00366474">
              <w:rPr>
                <w:rFonts w:ascii="Arial" w:eastAsiaTheme="minorHAnsi" w:hAnsi="Arial" w:cs="Arial"/>
                <w:b/>
              </w:rPr>
              <w:t>Numarası</w:t>
            </w:r>
          </w:p>
        </w:tc>
        <w:tc>
          <w:tcPr>
            <w:tcW w:w="4699" w:type="dxa"/>
          </w:tcPr>
          <w:p w14:paraId="28C88F08" w14:textId="77777777" w:rsidR="00F50DB4" w:rsidRPr="00366474" w:rsidRDefault="00F50DB4" w:rsidP="00044C80">
            <w:pPr>
              <w:jc w:val="center"/>
              <w:rPr>
                <w:rFonts w:ascii="Arial" w:eastAsiaTheme="minorHAnsi" w:hAnsi="Arial" w:cs="Arial"/>
                <w:b/>
              </w:rPr>
            </w:pPr>
            <w:r w:rsidRPr="00366474">
              <w:rPr>
                <w:rFonts w:ascii="Arial" w:eastAsiaTheme="minorHAnsi" w:hAnsi="Arial" w:cs="Arial"/>
                <w:b/>
              </w:rPr>
              <w:t>Tarihi</w:t>
            </w:r>
          </w:p>
        </w:tc>
      </w:tr>
      <w:tr w:rsidR="00F50DB4" w14:paraId="73A10006" w14:textId="77777777" w:rsidTr="00044C80">
        <w:trPr>
          <w:trHeight w:val="203"/>
          <w:jc w:val="center"/>
        </w:trPr>
        <w:tc>
          <w:tcPr>
            <w:tcW w:w="4696" w:type="dxa"/>
          </w:tcPr>
          <w:p w14:paraId="496B1E59" w14:textId="52CF7C4B" w:rsidR="00F50DB4" w:rsidRPr="00366474" w:rsidRDefault="00F50DB4" w:rsidP="00044C80">
            <w:pPr>
              <w:jc w:val="center"/>
              <w:rPr>
                <w:rFonts w:ascii="Arial" w:eastAsiaTheme="minorHAnsi" w:hAnsi="Arial" w:cs="Arial"/>
              </w:rPr>
            </w:pPr>
            <w:r w:rsidRPr="00D31551">
              <w:rPr>
                <w:rFonts w:ascii="Arial" w:hAnsi="Arial" w:cs="Arial"/>
                <w:kern w:val="20"/>
              </w:rPr>
              <w:lastRenderedPageBreak/>
              <w:t>26237</w:t>
            </w:r>
          </w:p>
        </w:tc>
        <w:tc>
          <w:tcPr>
            <w:tcW w:w="4699" w:type="dxa"/>
          </w:tcPr>
          <w:p w14:paraId="2D781A98" w14:textId="4B01B7CD" w:rsidR="00F50DB4" w:rsidRPr="00366474" w:rsidRDefault="00F50DB4" w:rsidP="00044C80">
            <w:pPr>
              <w:jc w:val="center"/>
              <w:rPr>
                <w:rFonts w:ascii="Arial" w:eastAsiaTheme="minorHAnsi" w:hAnsi="Arial" w:cs="Arial"/>
              </w:rPr>
            </w:pPr>
            <w:r>
              <w:rPr>
                <w:rFonts w:ascii="Arial" w:eastAsiaTheme="minorHAnsi" w:hAnsi="Arial" w:cs="Arial"/>
              </w:rPr>
              <w:t>23/7/2006</w:t>
            </w:r>
            <w:bookmarkStart w:id="0" w:name="_GoBack"/>
            <w:bookmarkEnd w:id="0"/>
          </w:p>
        </w:tc>
      </w:tr>
    </w:tbl>
    <w:p w14:paraId="056C58CF" w14:textId="77777777" w:rsidR="00F50DB4" w:rsidRDefault="00F50DB4"/>
    <w:sectPr w:rsidR="00F50D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EDED6" w14:textId="77777777" w:rsidR="009146F7" w:rsidRDefault="009146F7" w:rsidP="00F50DB4">
      <w:pPr>
        <w:spacing w:after="0" w:line="240" w:lineRule="auto"/>
      </w:pPr>
      <w:r>
        <w:separator/>
      </w:r>
    </w:p>
  </w:endnote>
  <w:endnote w:type="continuationSeparator" w:id="0">
    <w:p w14:paraId="75F23728" w14:textId="77777777" w:rsidR="009146F7" w:rsidRDefault="009146F7" w:rsidP="00F5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9938" w14:textId="5B08994A" w:rsidR="00F50DB4" w:rsidRPr="00F50DB4" w:rsidRDefault="00F50DB4" w:rsidP="00F50DB4">
    <w:pPr>
      <w:pStyle w:val="AltBilgi"/>
    </w:pPr>
    <w:r>
      <w:rPr>
        <w:rFonts w:ascii="Arial" w:hAnsi="Arial" w:cs="Arial"/>
        <w:b/>
        <w:bCs/>
        <w:sz w:val="20"/>
        <w:szCs w:val="20"/>
        <w:u w:val="single"/>
      </w:rPr>
      <w:fldChar w:fldCharType="begin" w:fldLock="1"/>
    </w:r>
    <w:r>
      <w:rPr>
        <w:rFonts w:ascii="Arial" w:hAnsi="Arial" w:cs="Arial"/>
        <w:b/>
        <w:bCs/>
        <w:sz w:val="20"/>
        <w:szCs w:val="20"/>
        <w:u w:val="single"/>
      </w:rPr>
      <w:instrText xml:space="preserve"> DOCPROPERTY bjFooterEvenPageDocProperty \* MERGEFORMAT </w:instrText>
    </w:r>
    <w:r>
      <w:rPr>
        <w:rFonts w:ascii="Arial" w:hAnsi="Arial" w:cs="Arial"/>
        <w:b/>
        <w:bCs/>
        <w:sz w:val="20"/>
        <w:szCs w:val="20"/>
        <w:u w:val="single"/>
      </w:rPr>
      <w:fldChar w:fldCharType="separate"/>
    </w:r>
    <w:r w:rsidRPr="0094355D">
      <w:rPr>
        <w:rFonts w:ascii="Malgun Gothic" w:eastAsia="Malgun Gothic" w:hAnsi="Malgun Gothic" w:cs="Arial"/>
        <w:b/>
        <w:bCs/>
        <w:color w:val="999999"/>
        <w:sz w:val="20"/>
        <w:szCs w:val="20"/>
      </w:rPr>
      <w:t>Sınıflandırma|</w:t>
    </w:r>
    <w:r w:rsidRPr="0094355D">
      <w:rPr>
        <w:rFonts w:ascii="Malgun Gothic" w:eastAsia="Malgun Gothic" w:hAnsi="Malgun Gothic" w:cs="Arial"/>
        <w:b/>
        <w:bCs/>
        <w:color w:val="339966"/>
        <w:sz w:val="20"/>
        <w:szCs w:val="20"/>
      </w:rPr>
      <w:t>Genel</w:t>
    </w:r>
    <w:r>
      <w:rPr>
        <w:rFonts w:ascii="Arial" w:hAnsi="Arial" w:cs="Arial"/>
        <w:b/>
        <w:bCs/>
        <w:sz w:val="20"/>
        <w:szCs w:val="20"/>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5A4E" w14:textId="568503A9" w:rsidR="00F50DB4" w:rsidRPr="00F50DB4" w:rsidRDefault="00F50DB4" w:rsidP="00F50DB4">
    <w:pPr>
      <w:pStyle w:val="AltBilgi"/>
    </w:pPr>
    <w:r>
      <w:rPr>
        <w:rFonts w:ascii="Arial" w:hAnsi="Arial" w:cs="Arial"/>
        <w:b/>
        <w:bCs/>
        <w:sz w:val="20"/>
        <w:szCs w:val="20"/>
        <w:u w:val="single"/>
      </w:rPr>
      <w:fldChar w:fldCharType="begin" w:fldLock="1"/>
    </w:r>
    <w:r>
      <w:rPr>
        <w:rFonts w:ascii="Arial" w:hAnsi="Arial" w:cs="Arial"/>
        <w:b/>
        <w:bCs/>
        <w:sz w:val="20"/>
        <w:szCs w:val="20"/>
        <w:u w:val="single"/>
      </w:rPr>
      <w:instrText xml:space="preserve"> DOCPROPERTY bjFooterBothDocProperty \* MERGEFORMAT </w:instrText>
    </w:r>
    <w:r>
      <w:rPr>
        <w:rFonts w:ascii="Arial" w:hAnsi="Arial" w:cs="Arial"/>
        <w:b/>
        <w:bCs/>
        <w:sz w:val="20"/>
        <w:szCs w:val="20"/>
        <w:u w:val="single"/>
      </w:rPr>
      <w:fldChar w:fldCharType="separate"/>
    </w:r>
    <w:r w:rsidRPr="0094355D">
      <w:rPr>
        <w:rFonts w:ascii="Malgun Gothic" w:eastAsia="Malgun Gothic" w:hAnsi="Malgun Gothic" w:cs="Arial"/>
        <w:b/>
        <w:bCs/>
        <w:color w:val="999999"/>
        <w:sz w:val="20"/>
        <w:szCs w:val="20"/>
      </w:rPr>
      <w:t>Sınıflandırma|</w:t>
    </w:r>
    <w:r w:rsidRPr="0094355D">
      <w:rPr>
        <w:rFonts w:ascii="Malgun Gothic" w:eastAsia="Malgun Gothic" w:hAnsi="Malgun Gothic" w:cs="Arial"/>
        <w:b/>
        <w:bCs/>
        <w:color w:val="339966"/>
        <w:sz w:val="20"/>
        <w:szCs w:val="20"/>
      </w:rPr>
      <w:t>Genel</w:t>
    </w:r>
    <w:r>
      <w:rPr>
        <w:rFonts w:ascii="Arial" w:hAnsi="Arial" w:cs="Arial"/>
        <w:b/>
        <w:bCs/>
        <w:sz w:val="20"/>
        <w:szCs w:val="20"/>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0FB1" w14:textId="01C13E0B" w:rsidR="00F50DB4" w:rsidRPr="00F50DB4" w:rsidRDefault="00F50DB4" w:rsidP="00F50DB4">
    <w:pPr>
      <w:pStyle w:val="AltBilgi"/>
    </w:pPr>
    <w:r>
      <w:rPr>
        <w:rFonts w:ascii="Arial" w:hAnsi="Arial" w:cs="Arial"/>
        <w:b/>
        <w:bCs/>
        <w:sz w:val="20"/>
        <w:szCs w:val="20"/>
        <w:u w:val="single"/>
      </w:rPr>
      <w:fldChar w:fldCharType="begin" w:fldLock="1"/>
    </w:r>
    <w:r>
      <w:rPr>
        <w:rFonts w:ascii="Arial" w:hAnsi="Arial" w:cs="Arial"/>
        <w:b/>
        <w:bCs/>
        <w:sz w:val="20"/>
        <w:szCs w:val="20"/>
        <w:u w:val="single"/>
      </w:rPr>
      <w:instrText xml:space="preserve"> DOCPROPERTY bjFooterFirstPageDocProperty \* MERGEFORMAT </w:instrText>
    </w:r>
    <w:r>
      <w:rPr>
        <w:rFonts w:ascii="Arial" w:hAnsi="Arial" w:cs="Arial"/>
        <w:b/>
        <w:bCs/>
        <w:sz w:val="20"/>
        <w:szCs w:val="20"/>
        <w:u w:val="single"/>
      </w:rPr>
      <w:fldChar w:fldCharType="separate"/>
    </w:r>
    <w:r w:rsidRPr="0094355D">
      <w:rPr>
        <w:rFonts w:ascii="Malgun Gothic" w:eastAsia="Malgun Gothic" w:hAnsi="Malgun Gothic" w:cs="Arial"/>
        <w:b/>
        <w:bCs/>
        <w:color w:val="999999"/>
        <w:sz w:val="20"/>
        <w:szCs w:val="20"/>
      </w:rPr>
      <w:t>Sınıflandırma|</w:t>
    </w:r>
    <w:r w:rsidRPr="0094355D">
      <w:rPr>
        <w:rFonts w:ascii="Malgun Gothic" w:eastAsia="Malgun Gothic" w:hAnsi="Malgun Gothic" w:cs="Arial"/>
        <w:b/>
        <w:bCs/>
        <w:color w:val="339966"/>
        <w:sz w:val="20"/>
        <w:szCs w:val="20"/>
      </w:rPr>
      <w:t>Genel</w:t>
    </w:r>
    <w:r>
      <w:rPr>
        <w:rFonts w:ascii="Arial" w:hAnsi="Arial" w:cs="Arial"/>
        <w:b/>
        <w:bCs/>
        <w:sz w:val="20"/>
        <w:szCs w:val="20"/>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E557B" w14:textId="77777777" w:rsidR="009146F7" w:rsidRDefault="009146F7" w:rsidP="00F50DB4">
      <w:pPr>
        <w:spacing w:after="0" w:line="240" w:lineRule="auto"/>
      </w:pPr>
      <w:r>
        <w:separator/>
      </w:r>
    </w:p>
  </w:footnote>
  <w:footnote w:type="continuationSeparator" w:id="0">
    <w:p w14:paraId="625D5D75" w14:textId="77777777" w:rsidR="009146F7" w:rsidRDefault="009146F7" w:rsidP="00F5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045E" w14:textId="77777777" w:rsidR="00F50DB4" w:rsidRDefault="00F50DB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F2E6" w14:textId="77777777" w:rsidR="00F50DB4" w:rsidRDefault="00F50DB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F252" w14:textId="77777777" w:rsidR="00F50DB4" w:rsidRDefault="00F50DB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68"/>
    <w:rsid w:val="009146F7"/>
    <w:rsid w:val="00A174FE"/>
    <w:rsid w:val="00BE0D68"/>
    <w:rsid w:val="00F50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9583F"/>
  <w15:chartTrackingRefBased/>
  <w15:docId w15:val="{E7EDED24-6C5F-4A0D-BCD8-85EE3EF8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50DB4"/>
  </w:style>
  <w:style w:type="paragraph" w:styleId="NormalWeb">
    <w:name w:val="Normal (Web)"/>
    <w:basedOn w:val="Normal"/>
    <w:uiPriority w:val="99"/>
    <w:semiHidden/>
    <w:unhideWhenUsed/>
    <w:rsid w:val="00F50DB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50DB4"/>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50D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0DB4"/>
  </w:style>
  <w:style w:type="paragraph" w:styleId="AltBilgi">
    <w:name w:val="footer"/>
    <w:basedOn w:val="Normal"/>
    <w:link w:val="AltBilgiChar"/>
    <w:uiPriority w:val="99"/>
    <w:unhideWhenUsed/>
    <w:rsid w:val="00F50D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C093DB4A-2F07-4111-81C5-EAC691233C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473</Words>
  <Characters>2698</Characters>
  <Application>Microsoft Office Word</Application>
  <DocSecurity>0</DocSecurity>
  <Lines>22</Lines>
  <Paragraphs>6</Paragraphs>
  <ScaleCrop>false</ScaleCrop>
  <Company>Emeklilik Gozetim Merkezi</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2024-02-19T10:07:00Z</dcterms:created>
  <dcterms:modified xsi:type="dcterms:W3CDTF">2024-02-19T10:17:00Z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c1a85f2e-4ea3-4bae-bfbd-fc51b61c5997</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