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40" w:rsidRPr="004A4040" w:rsidRDefault="004A4040" w:rsidP="004A4040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Arial" w:hAnsi="Arial" w:cs="Arial"/>
          <w:b/>
          <w:bCs/>
          <w:sz w:val="20"/>
          <w:u w:val="single"/>
        </w:rPr>
      </w:pPr>
      <w:bookmarkStart w:id="0" w:name="g_2005"/>
      <w:bookmarkStart w:id="1" w:name="_Toc10203507"/>
      <w:bookmarkStart w:id="2" w:name="_Toc105418674"/>
      <w:r w:rsidRPr="004A4040">
        <w:rPr>
          <w:rFonts w:ascii="Arial" w:hAnsi="Arial" w:cs="Arial"/>
          <w:b/>
          <w:bCs/>
          <w:sz w:val="20"/>
          <w:u w:val="single"/>
        </w:rPr>
        <w:t>Resmi Gazete Dışından Kaynak</w:t>
      </w:r>
    </w:p>
    <w:p w:rsidR="004A4040" w:rsidRDefault="004A4040" w:rsidP="004A4040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Arial" w:hAnsi="Arial" w:cs="Arial"/>
          <w:b/>
          <w:bCs/>
          <w:sz w:val="20"/>
          <w:u w:val="single"/>
        </w:rPr>
      </w:pPr>
      <w:r w:rsidRPr="004A4040">
        <w:rPr>
          <w:rFonts w:ascii="Arial" w:hAnsi="Arial" w:cs="Arial"/>
          <w:b/>
          <w:bCs/>
          <w:sz w:val="20"/>
          <w:u w:val="single"/>
        </w:rPr>
        <w:t>Hazine Müsteşarlığı</w:t>
      </w:r>
    </w:p>
    <w:p w:rsidR="00785FFF" w:rsidRPr="004A4040" w:rsidRDefault="00785FFF" w:rsidP="004A4040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Arial" w:hAnsi="Arial" w:cs="Arial"/>
          <w:b/>
          <w:bCs/>
          <w:sz w:val="20"/>
          <w:u w:val="single"/>
        </w:rPr>
      </w:pPr>
    </w:p>
    <w:p w:rsidR="004A4040" w:rsidRDefault="004A4040" w:rsidP="00785FFF">
      <w:pPr>
        <w:pStyle w:val="Balk2"/>
        <w:spacing w:before="0" w:after="0"/>
        <w:jc w:val="center"/>
        <w:rPr>
          <w:sz w:val="24"/>
          <w:szCs w:val="24"/>
        </w:rPr>
      </w:pPr>
      <w:r w:rsidRPr="002627B5">
        <w:rPr>
          <w:sz w:val="24"/>
          <w:szCs w:val="24"/>
        </w:rPr>
        <w:t xml:space="preserve">BİREYSEL EMEKLİLİK MEVZUATI UYARINCA ÇIKARILMIŞ OLAN BAZI GENELGE VE ÖZELGELERİN YÜRÜRLÜKTEN KALDIRILMASINA İLİŞKİN </w:t>
      </w:r>
      <w:bookmarkStart w:id="3" w:name="_GoBack"/>
      <w:bookmarkEnd w:id="3"/>
      <w:r w:rsidRPr="002627B5">
        <w:rPr>
          <w:sz w:val="24"/>
          <w:szCs w:val="24"/>
        </w:rPr>
        <w:t>GENELGE</w:t>
      </w:r>
      <w:bookmarkEnd w:id="0"/>
      <w:r w:rsidRPr="002627B5">
        <w:rPr>
          <w:sz w:val="24"/>
          <w:szCs w:val="24"/>
        </w:rPr>
        <w:t xml:space="preserve"> (2008/30)</w:t>
      </w:r>
      <w:bookmarkEnd w:id="1"/>
      <w:bookmarkEnd w:id="2"/>
    </w:p>
    <w:p w:rsidR="00785FFF" w:rsidRDefault="00785FFF" w:rsidP="000C2993">
      <w:pPr>
        <w:spacing w:after="0" w:line="276" w:lineRule="auto"/>
        <w:rPr>
          <w:lang w:eastAsia="tr-TR"/>
        </w:rPr>
      </w:pPr>
    </w:p>
    <w:p w:rsidR="00785FFF" w:rsidRPr="00785FFF" w:rsidRDefault="00785FFF" w:rsidP="000C2993">
      <w:pPr>
        <w:spacing w:after="0" w:line="276" w:lineRule="auto"/>
        <w:rPr>
          <w:lang w:eastAsia="tr-TR"/>
        </w:rPr>
      </w:pPr>
    </w:p>
    <w:p w:rsidR="004A4040" w:rsidRPr="00785FFF" w:rsidRDefault="004A4040" w:rsidP="000C2993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Bilindiği üzere, 8/1/2008 tarih ve 26750 sayılı Resmi Gazetede yayımlanan Emeklilik Şirketleri Kuruluş ve Çalışma Esaslarına İlişkin Yönetmelik ve 9/4/2008 tarih ve 26842 sayılı Resmi Gazetede yayımlanan Bireysel Emeklilik Sistemi Hakkında Yönetmeliğin yürürlüğe girmesi ile 28/2/2002 tarih ve 24681 sayılı Resmi Gazetede yayımlanan Emeklilik Şirketleri Kuruluş ve Çalışma Esasları Hakkında Yönetmelik ile Bireysel Emeklilik Sistemi Hakkında Yönetmelik yürürlükten kaldırılmıştır. </w:t>
      </w:r>
    </w:p>
    <w:p w:rsidR="004A4040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Bu genelge, yeni yönetmelikler doğrultusunda yerine başka düzenleme yapılan veya yerine yeni düzenleme yapılması uygun görülmeyen yahut muhtelif nedenlerle işlevsiz kalan genelge ve özelgelerin yürürlükten kaldırılması amacıyla düzenlenmiştir.   </w:t>
      </w:r>
    </w:p>
    <w:p w:rsidR="00785FFF" w:rsidRPr="00785FFF" w:rsidRDefault="00785FFF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>I. Yürürlükten Kaldırılan Genelgeler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bCs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>Aşağıda belirtilen genelgeler, bu genelge tarihi itibarıyla yürürlükten kaldırılmıştır.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a) Emeklilik Şirketleri Kuruluş ve Çalışma Esasları Hakkında Yönetmelik Uyarınca Faaliyet Ruhsatı Başvurularında İzlenecek Esas ve Usullere İlişkin Genelge (Genelge No: 2003/1) 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b) Emeklilik Şirketlerinin İlan ve Reklam Harcamaları Hakkında Bilgilendirmeye İlişkin Genelge (Genelge No: 2004/5) 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c) </w:t>
      </w:r>
      <w:hyperlink r:id="rId7" w:history="1">
        <w:r w:rsidRPr="00785FFF">
          <w:rPr>
            <w:rFonts w:ascii="Arial" w:hAnsi="Arial" w:cs="Arial"/>
            <w:color w:val="000000"/>
            <w:kern w:val="16"/>
            <w:sz w:val="20"/>
            <w:szCs w:val="20"/>
          </w:rPr>
          <w:t>Yeni Türk Lirası’na Geçiş Sürecinde Emeklilik Planları ve Sigorta Tarifeleri Kapsamında Yapılması Gereken İşlemlere İlişkin Genelge</w:t>
        </w:r>
      </w:hyperlink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 (Genelge No:2004/8)</w:t>
      </w:r>
    </w:p>
    <w:p w:rsidR="00785FFF" w:rsidRPr="00785FFF" w:rsidRDefault="00785FFF" w:rsidP="00785FFF">
      <w:pPr>
        <w:widowControl w:val="0"/>
        <w:spacing w:after="0" w:line="276" w:lineRule="auto"/>
        <w:ind w:left="170" w:right="170"/>
        <w:jc w:val="both"/>
        <w:rPr>
          <w:color w:val="000000"/>
          <w:kern w:val="16"/>
        </w:rPr>
      </w:pP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bCs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 xml:space="preserve">II. Yürürlükten Kaldırılan Özelgeler 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bCs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>Aşağıda belirtilen özelgeler, bu genelge tarihi itibarıyla yürürlükten kaldırılmıştır.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a) Özelge No: 2004-1 On yıllık sürenin hesabında esas alınacak asgari katkı payı miktarları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b) Özelge No: 2004-2 Birikimli hayat sigortalarından aktarımda esas alınacak tarih hakkında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c) Özelge No: 2005-1 Yatırıma yönlendirme yükümlülüğünün ihlali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ç) Özelge No: 2005-2 Lise mezunu aracı adaylarından istenen belgeler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d) Özelge No: 2005-3 Bireysel emeklilik hesaplarının emeklilik şirketleri arasında aktarımı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e) Özelge No: 2005-4 Emeklilik şirketleri tarafından yürütülen pazarlama ve satış işlemleri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f) Özelge No: 2005-5 Katılımcının birikimlerinin emeklilik şirketleri arası aktarımı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g) Özelge No: 2005-6 Bireysel emeklilik sisteminde geçen sürenin hesabı 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ğ) Özelge No: 2005-7 TÜFE’ye endeksli değerlemeler</w:t>
      </w:r>
    </w:p>
    <w:p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h) Özelge No: 2006-1 Giriş aidatı borcu olan katılımcıların ayrılmak istemeleri durumunda hesaplanacak birikim tutarı</w:t>
      </w:r>
    </w:p>
    <w:p w:rsidR="004A4040" w:rsidRDefault="004A4040" w:rsidP="004A4040">
      <w:pPr>
        <w:rPr>
          <w:sz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16"/>
        <w:gridCol w:w="3020"/>
        <w:gridCol w:w="3020"/>
      </w:tblGrid>
      <w:tr w:rsidR="004A4040" w:rsidRPr="001D7EEF" w:rsidTr="00467BD5">
        <w:tc>
          <w:tcPr>
            <w:tcW w:w="9224" w:type="dxa"/>
            <w:gridSpan w:val="3"/>
          </w:tcPr>
          <w:p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Genelge’nin</w:t>
            </w:r>
          </w:p>
        </w:tc>
      </w:tr>
      <w:tr w:rsidR="004A4040" w:rsidRPr="001D7EEF" w:rsidTr="00467BD5">
        <w:tc>
          <w:tcPr>
            <w:tcW w:w="3074" w:type="dxa"/>
          </w:tcPr>
          <w:p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Numarası</w:t>
            </w:r>
          </w:p>
        </w:tc>
        <w:tc>
          <w:tcPr>
            <w:tcW w:w="3075" w:type="dxa"/>
          </w:tcPr>
          <w:p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Kabul Tarihi</w:t>
            </w:r>
          </w:p>
        </w:tc>
        <w:tc>
          <w:tcPr>
            <w:tcW w:w="3075" w:type="dxa"/>
          </w:tcPr>
          <w:p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Yürürlüğe Giriş Tarihi</w:t>
            </w:r>
          </w:p>
        </w:tc>
      </w:tr>
      <w:tr w:rsidR="004A4040" w:rsidTr="00467BD5">
        <w:tc>
          <w:tcPr>
            <w:tcW w:w="3074" w:type="dxa"/>
          </w:tcPr>
          <w:p w:rsidR="004A4040" w:rsidRPr="004A4040" w:rsidRDefault="004A4040" w:rsidP="00467BD5">
            <w:pPr>
              <w:jc w:val="center"/>
              <w:rPr>
                <w:sz w:val="20"/>
              </w:rPr>
            </w:pPr>
            <w:r w:rsidRPr="004A4040">
              <w:rPr>
                <w:sz w:val="20"/>
              </w:rPr>
              <w:t>2008/30</w:t>
            </w:r>
          </w:p>
        </w:tc>
        <w:tc>
          <w:tcPr>
            <w:tcW w:w="3075" w:type="dxa"/>
          </w:tcPr>
          <w:p w:rsidR="004A4040" w:rsidRPr="004A4040" w:rsidRDefault="004A4040" w:rsidP="00467BD5">
            <w:pPr>
              <w:jc w:val="center"/>
              <w:rPr>
                <w:sz w:val="20"/>
              </w:rPr>
            </w:pPr>
            <w:r w:rsidRPr="004A4040">
              <w:rPr>
                <w:sz w:val="20"/>
              </w:rPr>
              <w:t>10.10.2008</w:t>
            </w:r>
          </w:p>
        </w:tc>
        <w:tc>
          <w:tcPr>
            <w:tcW w:w="3075" w:type="dxa"/>
          </w:tcPr>
          <w:p w:rsidR="004A4040" w:rsidRPr="004A4040" w:rsidRDefault="004A4040" w:rsidP="00467BD5">
            <w:pPr>
              <w:jc w:val="center"/>
              <w:rPr>
                <w:sz w:val="20"/>
              </w:rPr>
            </w:pPr>
            <w:r w:rsidRPr="004A4040">
              <w:rPr>
                <w:sz w:val="20"/>
              </w:rPr>
              <w:t>10.10.2008</w:t>
            </w:r>
          </w:p>
        </w:tc>
      </w:tr>
    </w:tbl>
    <w:p w:rsidR="004A4040" w:rsidRDefault="004A4040" w:rsidP="004A4040">
      <w:pPr>
        <w:rPr>
          <w:sz w:val="20"/>
        </w:rPr>
      </w:pPr>
    </w:p>
    <w:p w:rsidR="00343027" w:rsidRDefault="00343027"/>
    <w:sectPr w:rsidR="00343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40" w:rsidRDefault="004A4040" w:rsidP="004A4040">
      <w:pPr>
        <w:spacing w:after="0" w:line="240" w:lineRule="auto"/>
      </w:pPr>
      <w:r>
        <w:separator/>
      </w:r>
    </w:p>
  </w:endnote>
  <w:endnote w:type="continuationSeparator" w:id="0">
    <w:p w:rsidR="004A4040" w:rsidRDefault="004A4040" w:rsidP="004A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40" w:rsidRPr="000C2993" w:rsidRDefault="000C2993" w:rsidP="000C2993">
    <w:pPr>
      <w:pStyle w:val="AltBilgi"/>
    </w:pPr>
    <w:r>
      <w:rPr>
        <w:sz w:val="20"/>
      </w:rPr>
      <w:fldChar w:fldCharType="begin" w:fldLock="1"/>
    </w:r>
    <w:r>
      <w:rPr>
        <w:sz w:val="20"/>
      </w:rPr>
      <w:instrText xml:space="preserve"> DOCPROPERTY bjFooterEvenPageDocProperty \* MERGEFORMAT </w:instrText>
    </w:r>
    <w:r>
      <w:rPr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40" w:rsidRPr="000C2993" w:rsidRDefault="000C2993" w:rsidP="000C2993">
    <w:pPr>
      <w:pStyle w:val="AltBilgi"/>
    </w:pPr>
    <w:r>
      <w:rPr>
        <w:sz w:val="20"/>
      </w:rPr>
      <w:fldChar w:fldCharType="begin" w:fldLock="1"/>
    </w:r>
    <w:r>
      <w:rPr>
        <w:sz w:val="20"/>
      </w:rPr>
      <w:instrText xml:space="preserve"> DOCPROPERTY bjFooterBothDocProperty \* MERGEFORMAT </w:instrText>
    </w:r>
    <w:r>
      <w:rPr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40" w:rsidRPr="000C2993" w:rsidRDefault="000C2993" w:rsidP="000C2993">
    <w:pPr>
      <w:pStyle w:val="AltBilgi"/>
    </w:pPr>
    <w:r>
      <w:rPr>
        <w:sz w:val="20"/>
      </w:rPr>
      <w:fldChar w:fldCharType="begin" w:fldLock="1"/>
    </w:r>
    <w:r>
      <w:rPr>
        <w:sz w:val="20"/>
      </w:rPr>
      <w:instrText xml:space="preserve"> DOCPROPERTY bjFooterFirstPageDocProperty \* MERGEFORMAT </w:instrText>
    </w:r>
    <w:r>
      <w:rPr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40" w:rsidRDefault="004A4040" w:rsidP="004A4040">
      <w:pPr>
        <w:spacing w:after="0" w:line="240" w:lineRule="auto"/>
      </w:pPr>
      <w:r>
        <w:separator/>
      </w:r>
    </w:p>
  </w:footnote>
  <w:footnote w:type="continuationSeparator" w:id="0">
    <w:p w:rsidR="004A4040" w:rsidRDefault="004A4040" w:rsidP="004A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40" w:rsidRDefault="004A40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40" w:rsidRDefault="004A40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40" w:rsidRDefault="004A4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D1"/>
    <w:rsid w:val="000C2993"/>
    <w:rsid w:val="00343027"/>
    <w:rsid w:val="004A4040"/>
    <w:rsid w:val="005701D1"/>
    <w:rsid w:val="005C12CA"/>
    <w:rsid w:val="00651D80"/>
    <w:rsid w:val="007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596FD"/>
  <w15:chartTrackingRefBased/>
  <w15:docId w15:val="{7A293537-48D3-4371-83F2-68B586B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rsid w:val="004A4040"/>
    <w:pPr>
      <w:keepLines/>
      <w:spacing w:before="280" w:after="280" w:line="276" w:lineRule="auto"/>
      <w:outlineLvl w:val="1"/>
    </w:pPr>
    <w:rPr>
      <w:rFonts w:ascii="Arial" w:eastAsia="Times New Roman" w:hAnsi="Arial" w:cs="Arial"/>
      <w:b/>
      <w:sz w:val="3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4040"/>
    <w:rPr>
      <w:rFonts w:ascii="Arial" w:eastAsia="Times New Roman" w:hAnsi="Arial" w:cs="Arial"/>
      <w:b/>
      <w:sz w:val="36"/>
      <w:szCs w:val="20"/>
      <w:lang w:eastAsia="tr-TR"/>
    </w:rPr>
  </w:style>
  <w:style w:type="character" w:styleId="Kpr">
    <w:name w:val="Hyperlink"/>
    <w:uiPriority w:val="99"/>
    <w:qFormat/>
    <w:rsid w:val="004A4040"/>
    <w:rPr>
      <w:color w:val="0066CC"/>
      <w:u w:val="single" w:color="0000FF"/>
    </w:rPr>
  </w:style>
  <w:style w:type="table" w:styleId="TabloKlavuzu">
    <w:name w:val="Table Grid"/>
    <w:basedOn w:val="NormalTablo"/>
    <w:uiPriority w:val="39"/>
    <w:rsid w:val="004A4040"/>
    <w:pPr>
      <w:spacing w:after="0" w:line="240" w:lineRule="auto"/>
    </w:pPr>
    <w:rPr>
      <w:rFonts w:ascii="Arial" w:eastAsia="Times New Roman" w:hAnsi="Arial" w:cs="Arial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NormalWeb">
    <w:name w:val="Normal (Web)"/>
    <w:aliases w:val=" Char,Normal (Web) Char Char,Normal (Web) Char Char Char Char,Normal (Web) Char Char Char"/>
    <w:basedOn w:val="Normal"/>
    <w:link w:val="NormalWebChar"/>
    <w:uiPriority w:val="99"/>
    <w:rsid w:val="004A40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character" w:customStyle="1" w:styleId="NormalWebChar">
    <w:name w:val="Normal (Web) Char"/>
    <w:aliases w:val=" Char Char,Normal (Web) Char Char Char1,Normal (Web) Char Char Char Char Char,Normal (Web) Char Char Char Char1"/>
    <w:basedOn w:val="VarsaylanParagrafYazTipi"/>
    <w:link w:val="NormalWeb"/>
    <w:uiPriority w:val="99"/>
    <w:rsid w:val="004A4040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character" w:styleId="Gl">
    <w:name w:val="Strong"/>
    <w:basedOn w:val="VarsaylanParagrafYazTipi"/>
    <w:qFormat/>
    <w:rsid w:val="004A404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A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040"/>
  </w:style>
  <w:style w:type="paragraph" w:styleId="AltBilgi">
    <w:name w:val="footer"/>
    <w:basedOn w:val="Normal"/>
    <w:link w:val="AltBilgiChar"/>
    <w:uiPriority w:val="99"/>
    <w:unhideWhenUsed/>
    <w:rsid w:val="004A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reyselemeklilik.gov.tr/mevzuat/05Genelgeler/05G_2004-8_YTLGSEPveSTKYGIIG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95B198DA-A4FC-4C63-85BD-84E022D6DB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Company>EGM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6</cp:revision>
  <dcterms:created xsi:type="dcterms:W3CDTF">2022-12-15T08:06:00Z</dcterms:created>
  <dcterms:modified xsi:type="dcterms:W3CDTF">2023-01-09T08:45:00Z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15fa8eb4-aacd-4013-9177-43535e646529</vt:lpwstr>
  </property>
  <property fmtid="{D5CDD505-2E9C-101B-9397-08002B2CF9AE}" pid="3" name="bjSaver">
    <vt:lpwstr>iZryUG4O9W7v4YkSJ4oIH8Eo71bnL+pl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