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1D" w:rsidRPr="001D7EEF" w:rsidRDefault="00EF531D" w:rsidP="00EF531D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b/>
          <w:bCs/>
          <w:sz w:val="20"/>
          <w:u w:val="single"/>
        </w:rPr>
      </w:pPr>
      <w:bookmarkStart w:id="0" w:name="_Toc10203522"/>
      <w:bookmarkStart w:id="1" w:name="_Toc105418688"/>
      <w:r w:rsidRPr="001D7EEF">
        <w:rPr>
          <w:b/>
          <w:bCs/>
          <w:sz w:val="20"/>
          <w:u w:val="single"/>
        </w:rPr>
        <w:t>Resmi Gazete Dışından Kaynak</w:t>
      </w:r>
    </w:p>
    <w:p w:rsidR="00EF531D" w:rsidRDefault="00EF531D" w:rsidP="00EF531D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b/>
          <w:bCs/>
          <w:sz w:val="20"/>
          <w:u w:val="single"/>
        </w:rPr>
      </w:pPr>
      <w:r w:rsidRPr="001D7EEF">
        <w:rPr>
          <w:b/>
          <w:bCs/>
          <w:sz w:val="20"/>
          <w:u w:val="single"/>
        </w:rPr>
        <w:t>Hazine Müsteşarlığı</w:t>
      </w:r>
      <w:r>
        <w:rPr>
          <w:b/>
          <w:bCs/>
          <w:sz w:val="20"/>
          <w:u w:val="single"/>
        </w:rPr>
        <w:t xml:space="preserve"> (Sigortacılık Genel Müdürlüğü)</w:t>
      </w:r>
    </w:p>
    <w:p w:rsidR="00673F3F" w:rsidRPr="00942CD0" w:rsidRDefault="00673F3F" w:rsidP="00EF531D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b/>
          <w:bCs/>
          <w:sz w:val="20"/>
          <w:u w:val="single"/>
        </w:rPr>
      </w:pPr>
    </w:p>
    <w:p w:rsidR="00EF531D" w:rsidRDefault="00EF531D" w:rsidP="00673F3F">
      <w:pPr>
        <w:pStyle w:val="Balk2"/>
        <w:spacing w:before="0" w:after="0"/>
        <w:jc w:val="center"/>
        <w:rPr>
          <w:sz w:val="24"/>
          <w:szCs w:val="24"/>
        </w:rPr>
      </w:pPr>
      <w:r w:rsidRPr="00942CD0">
        <w:rPr>
          <w:sz w:val="24"/>
          <w:szCs w:val="24"/>
        </w:rPr>
        <w:t>BİREYSEL EMEKLİLİK SİSTEMİNDE DEVLET KATKISI İŞLEMLERİ HAKKINDA GENELGE (2016/12)</w:t>
      </w:r>
      <w:bookmarkEnd w:id="0"/>
      <w:bookmarkEnd w:id="1"/>
    </w:p>
    <w:p w:rsidR="00673F3F" w:rsidRDefault="00673F3F" w:rsidP="00673F3F">
      <w:pPr>
        <w:spacing w:after="0"/>
      </w:pPr>
      <w:bookmarkStart w:id="2" w:name="_GoBack"/>
      <w:bookmarkEnd w:id="2"/>
    </w:p>
    <w:p w:rsidR="00673F3F" w:rsidRPr="00673F3F" w:rsidRDefault="00673F3F" w:rsidP="00673F3F">
      <w:pPr>
        <w:spacing w:after="0"/>
      </w:pPr>
    </w:p>
    <w:p w:rsidR="00EF531D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Bu Genelge, 4632 sayılı Bireysel Emeklilik Tasarruf ve Yatırım Sistemi Kanununun Ek 1 inci maddesi ile 5/2/2016 tarihli ve 29615 sayılı Resmi Gazetede yayımlanan Bireysel Emeklilik Sisteminde Devlet Katkısı Hakkında Yönetmeliğin (“Yönetmelik”) Geçici 3 üncü maddesinin uygulanmasına ilişkin bazı esas ve usulleri açıklamak üzere hazırlanmıştır.</w:t>
      </w:r>
    </w:p>
    <w:p w:rsidR="00673F3F" w:rsidRPr="00673F3F" w:rsidRDefault="00673F3F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</w:p>
    <w:p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b/>
          <w:color w:val="000000"/>
          <w:kern w:val="16"/>
          <w:sz w:val="20"/>
          <w:lang w:eastAsia="en-US"/>
        </w:rPr>
        <w:t>MADDE 1-</w:t>
      </w:r>
      <w:r w:rsidRPr="00673F3F">
        <w:rPr>
          <w:rFonts w:eastAsiaTheme="minorHAnsi"/>
          <w:color w:val="000000"/>
          <w:kern w:val="16"/>
          <w:sz w:val="20"/>
          <w:lang w:eastAsia="en-US"/>
        </w:rPr>
        <w:t xml:space="preserve">  (1) Yönetmeliğin Geçici 3 üncü maddesi kapsamında, 1/1/2013-1/4/2016 tarihleri arasında devlet katkısı almış olması gereken bir katkı payı tutarının;</w:t>
      </w:r>
    </w:p>
    <w:p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Devlet katkısı hesaplamasına dâhil edilmemiş olması,</w:t>
      </w:r>
    </w:p>
    <w:p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Devlet katkısı hesaplamasına dâhil edilmekle birlikte, tamamen veya kısmen devlet katkısı almamış olması,</w:t>
      </w:r>
    </w:p>
    <w:p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Sehven haksız devlet katkısı bildirimine konu edilmesi,</w:t>
      </w:r>
    </w:p>
    <w:p w:rsidR="00EF531D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hallerinde ilgili katkı payı tutarı, bir defaya mahsus olmak üzere, en geç 30/9/2016 tarihine kadarki devlet katkısı hesaplamalarında dikkate alınır. Bu kapsamda, Yönetmeliğin Geçici 3 üncü maddesine ilişkin tüm verilerin, en geç 2016 Ağustos dönemine ilişkin devlet katkısı verileriyle birlikte emeklilik gözetim merkezine iletilmiş olması gerekmektedir.</w:t>
      </w:r>
    </w:p>
    <w:p w:rsidR="00673F3F" w:rsidRPr="00673F3F" w:rsidRDefault="00673F3F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</w:p>
    <w:p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b/>
          <w:color w:val="000000"/>
          <w:kern w:val="16"/>
          <w:sz w:val="20"/>
          <w:lang w:eastAsia="en-US"/>
        </w:rPr>
        <w:t>MADDE 2-</w:t>
      </w:r>
      <w:r w:rsidRPr="00673F3F">
        <w:rPr>
          <w:rFonts w:eastAsiaTheme="minorHAnsi"/>
          <w:color w:val="000000"/>
          <w:kern w:val="16"/>
          <w:sz w:val="20"/>
          <w:lang w:eastAsia="en-US"/>
        </w:rPr>
        <w:t xml:space="preserve"> Bu Genelge 1/4/2016 tarihinde yürürlüğe girer.</w:t>
      </w:r>
    </w:p>
    <w:p w:rsidR="00EF531D" w:rsidRDefault="00EF531D" w:rsidP="00EF531D">
      <w:pPr>
        <w:rPr>
          <w:sz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16"/>
        <w:gridCol w:w="3020"/>
        <w:gridCol w:w="3020"/>
      </w:tblGrid>
      <w:tr w:rsidR="00EF531D" w:rsidRPr="001D7EEF" w:rsidTr="00467BD5">
        <w:tc>
          <w:tcPr>
            <w:tcW w:w="9224" w:type="dxa"/>
            <w:gridSpan w:val="3"/>
          </w:tcPr>
          <w:p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Genelge’nin</w:t>
            </w:r>
          </w:p>
        </w:tc>
      </w:tr>
      <w:tr w:rsidR="00EF531D" w:rsidRPr="001D7EEF" w:rsidTr="00467BD5">
        <w:tc>
          <w:tcPr>
            <w:tcW w:w="3074" w:type="dxa"/>
          </w:tcPr>
          <w:p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Numarası</w:t>
            </w:r>
          </w:p>
        </w:tc>
        <w:tc>
          <w:tcPr>
            <w:tcW w:w="3075" w:type="dxa"/>
          </w:tcPr>
          <w:p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Kabul Tarihi</w:t>
            </w:r>
          </w:p>
        </w:tc>
        <w:tc>
          <w:tcPr>
            <w:tcW w:w="3075" w:type="dxa"/>
          </w:tcPr>
          <w:p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Yürürlüğe Giriş Tarihi</w:t>
            </w:r>
          </w:p>
        </w:tc>
      </w:tr>
      <w:tr w:rsidR="00EF531D" w:rsidTr="00467BD5">
        <w:tc>
          <w:tcPr>
            <w:tcW w:w="3074" w:type="dxa"/>
          </w:tcPr>
          <w:p w:rsidR="00EF531D" w:rsidRPr="0078703F" w:rsidRDefault="00EF531D" w:rsidP="00467BD5">
            <w:pPr>
              <w:jc w:val="center"/>
              <w:rPr>
                <w:sz w:val="20"/>
              </w:rPr>
            </w:pPr>
            <w:r w:rsidRPr="0078703F">
              <w:rPr>
                <w:sz w:val="20"/>
              </w:rPr>
              <w:t>2016/12</w:t>
            </w:r>
          </w:p>
        </w:tc>
        <w:tc>
          <w:tcPr>
            <w:tcW w:w="3075" w:type="dxa"/>
          </w:tcPr>
          <w:p w:rsidR="00EF531D" w:rsidRPr="0078703F" w:rsidRDefault="00EF531D" w:rsidP="00467BD5">
            <w:pPr>
              <w:jc w:val="center"/>
              <w:rPr>
                <w:sz w:val="20"/>
              </w:rPr>
            </w:pPr>
            <w:r w:rsidRPr="0078703F">
              <w:rPr>
                <w:sz w:val="20"/>
              </w:rPr>
              <w:t>25.03.2016</w:t>
            </w:r>
          </w:p>
        </w:tc>
        <w:tc>
          <w:tcPr>
            <w:tcW w:w="3075" w:type="dxa"/>
          </w:tcPr>
          <w:p w:rsidR="00EF531D" w:rsidRPr="0078703F" w:rsidRDefault="00EF531D" w:rsidP="00467BD5">
            <w:pPr>
              <w:jc w:val="center"/>
              <w:rPr>
                <w:sz w:val="20"/>
              </w:rPr>
            </w:pPr>
            <w:r w:rsidRPr="0078703F">
              <w:rPr>
                <w:sz w:val="20"/>
              </w:rPr>
              <w:t>01.04.2016</w:t>
            </w:r>
          </w:p>
        </w:tc>
      </w:tr>
    </w:tbl>
    <w:p w:rsidR="00EF531D" w:rsidRDefault="00EF531D" w:rsidP="00EF531D">
      <w:pPr>
        <w:rPr>
          <w:sz w:val="20"/>
        </w:rPr>
      </w:pPr>
    </w:p>
    <w:p w:rsidR="00343027" w:rsidRDefault="00343027"/>
    <w:sectPr w:rsidR="00343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1D" w:rsidRDefault="00EF531D" w:rsidP="00EF531D">
      <w:pPr>
        <w:spacing w:after="0" w:line="240" w:lineRule="auto"/>
      </w:pPr>
      <w:r>
        <w:separator/>
      </w:r>
    </w:p>
  </w:endnote>
  <w:endnote w:type="continuationSeparator" w:id="0">
    <w:p w:rsidR="00EF531D" w:rsidRDefault="00EF531D" w:rsidP="00EF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D" w:rsidRPr="00673F3F" w:rsidRDefault="00673F3F" w:rsidP="00673F3F">
    <w:pPr>
      <w:pStyle w:val="AltBilgi"/>
    </w:pPr>
    <w:r>
      <w:rPr>
        <w:rFonts w:eastAsiaTheme="minorHAnsi"/>
        <w:sz w:val="20"/>
      </w:rPr>
      <w:fldChar w:fldCharType="begin" w:fldLock="1"/>
    </w:r>
    <w:r>
      <w:rPr>
        <w:rFonts w:eastAsiaTheme="minorHAnsi"/>
        <w:sz w:val="20"/>
      </w:rPr>
      <w:instrText xml:space="preserve"> DOCPROPERTY bjFooterEvenPageDocProperty \* MERGEFORMAT </w:instrText>
    </w:r>
    <w:r>
      <w:rPr>
        <w:rFonts w:eastAsiaTheme="minorHAnsi"/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rFonts w:eastAsia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D" w:rsidRPr="00673F3F" w:rsidRDefault="00673F3F" w:rsidP="00673F3F">
    <w:pPr>
      <w:pStyle w:val="AltBilgi"/>
    </w:pPr>
    <w:r>
      <w:rPr>
        <w:rFonts w:eastAsiaTheme="minorHAnsi"/>
        <w:sz w:val="20"/>
      </w:rPr>
      <w:fldChar w:fldCharType="begin" w:fldLock="1"/>
    </w:r>
    <w:r>
      <w:rPr>
        <w:rFonts w:eastAsiaTheme="minorHAnsi"/>
        <w:sz w:val="20"/>
      </w:rPr>
      <w:instrText xml:space="preserve"> DOCPROPERTY bjFooterBothDocProperty \* MERGEFORMAT </w:instrText>
    </w:r>
    <w:r>
      <w:rPr>
        <w:rFonts w:eastAsiaTheme="minorHAnsi"/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rFonts w:eastAsia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D" w:rsidRPr="00673F3F" w:rsidRDefault="00673F3F" w:rsidP="00673F3F">
    <w:pPr>
      <w:pStyle w:val="AltBilgi"/>
    </w:pPr>
    <w:r>
      <w:rPr>
        <w:rFonts w:eastAsiaTheme="minorHAnsi"/>
        <w:sz w:val="20"/>
      </w:rPr>
      <w:fldChar w:fldCharType="begin" w:fldLock="1"/>
    </w:r>
    <w:r>
      <w:rPr>
        <w:rFonts w:eastAsiaTheme="minorHAnsi"/>
        <w:sz w:val="20"/>
      </w:rPr>
      <w:instrText xml:space="preserve"> DOCPROPERTY bjFooterFirstPageDocProperty \* MERGEFORMAT </w:instrText>
    </w:r>
    <w:r>
      <w:rPr>
        <w:rFonts w:eastAsiaTheme="minorHAnsi"/>
        <w:sz w:val="20"/>
      </w:rPr>
      <w:fldChar w:fldCharType="separate"/>
    </w:r>
    <w:r w:rsidRPr="00133D36">
      <w:rPr>
        <w:rFonts w:ascii="Malgun Gothic" w:eastAsia="Malgun Gothic" w:hAnsi="Malgun Gothic"/>
        <w:b/>
        <w:color w:val="999999"/>
        <w:sz w:val="20"/>
      </w:rPr>
      <w:t>Sınıflandırma|</w:t>
    </w:r>
    <w:r w:rsidRPr="00133D36">
      <w:rPr>
        <w:rFonts w:ascii="Malgun Gothic" w:eastAsia="Malgun Gothic" w:hAnsi="Malgun Gothic"/>
        <w:b/>
        <w:color w:val="339966"/>
        <w:sz w:val="20"/>
      </w:rPr>
      <w:t>Genel</w:t>
    </w:r>
    <w:r>
      <w:rPr>
        <w:rFonts w:eastAsia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1D" w:rsidRDefault="00EF531D" w:rsidP="00EF531D">
      <w:pPr>
        <w:spacing w:after="0" w:line="240" w:lineRule="auto"/>
      </w:pPr>
      <w:r>
        <w:separator/>
      </w:r>
    </w:p>
  </w:footnote>
  <w:footnote w:type="continuationSeparator" w:id="0">
    <w:p w:rsidR="00EF531D" w:rsidRDefault="00EF531D" w:rsidP="00EF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D" w:rsidRDefault="00EF53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D" w:rsidRDefault="00EF53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1D" w:rsidRDefault="00EF53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8EE"/>
    <w:multiLevelType w:val="hybridMultilevel"/>
    <w:tmpl w:val="B290DFC8"/>
    <w:lvl w:ilvl="0" w:tplc="95486F88">
      <w:start w:val="1"/>
      <w:numFmt w:val="lowerLetter"/>
      <w:lvlText w:val="(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37"/>
    <w:rsid w:val="00007BFE"/>
    <w:rsid w:val="00343027"/>
    <w:rsid w:val="00501737"/>
    <w:rsid w:val="00673F3F"/>
    <w:rsid w:val="0067618E"/>
    <w:rsid w:val="00E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88A444"/>
  <w15:chartTrackingRefBased/>
  <w15:docId w15:val="{16FD0747-FB98-40D4-B266-32D1734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1D"/>
    <w:pPr>
      <w:spacing w:after="180" w:line="276" w:lineRule="auto"/>
    </w:pPr>
    <w:rPr>
      <w:rFonts w:ascii="Arial" w:eastAsia="Times New Roman" w:hAnsi="Arial" w:cs="Arial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EF531D"/>
    <w:pPr>
      <w:keepLines/>
      <w:spacing w:before="280" w:after="280"/>
      <w:outlineLvl w:val="1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F531D"/>
    <w:rPr>
      <w:rFonts w:ascii="Arial" w:eastAsia="Times New Roman" w:hAnsi="Arial" w:cs="Arial"/>
      <w:b/>
      <w:sz w:val="36"/>
      <w:szCs w:val="20"/>
      <w:lang w:eastAsia="tr-TR"/>
    </w:rPr>
  </w:style>
  <w:style w:type="table" w:styleId="TabloKlavuzu">
    <w:name w:val="Table Grid"/>
    <w:basedOn w:val="NormalTablo"/>
    <w:uiPriority w:val="39"/>
    <w:rsid w:val="00EF531D"/>
    <w:pPr>
      <w:spacing w:after="0" w:line="240" w:lineRule="auto"/>
    </w:pPr>
    <w:rPr>
      <w:rFonts w:ascii="Arial" w:eastAsia="Times New Roman" w:hAnsi="Arial" w:cs="Arial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ListeParagraf">
    <w:name w:val="List Paragraph"/>
    <w:aliases w:val="içindekiler vbCxSpLast"/>
    <w:basedOn w:val="Normal"/>
    <w:link w:val="ListeParagrafChar"/>
    <w:uiPriority w:val="34"/>
    <w:qFormat/>
    <w:rsid w:val="00EF531D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içindekiler vbCxSpLast Char"/>
    <w:basedOn w:val="VarsaylanParagrafYazTipi"/>
    <w:link w:val="ListeParagraf"/>
    <w:uiPriority w:val="34"/>
    <w:rsid w:val="00EF53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31D"/>
    <w:rPr>
      <w:rFonts w:ascii="Arial" w:eastAsia="Times New Roman" w:hAnsi="Arial" w:cs="Arial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31D"/>
    <w:rPr>
      <w:rFonts w:ascii="Arial" w:eastAsia="Times New Roman" w:hAnsi="Arial" w:cs="Arial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4F0F4277-8016-4420-87D8-5BE19F1E6E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EGM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5</cp:revision>
  <dcterms:created xsi:type="dcterms:W3CDTF">2022-12-15T09:06:00Z</dcterms:created>
  <dcterms:modified xsi:type="dcterms:W3CDTF">2023-01-09T10:39:00Z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d4f1cd8b-f2e4-4027-b390-11f3afe89288</vt:lpwstr>
  </property>
  <property fmtid="{D5CDD505-2E9C-101B-9397-08002B2CF9AE}" pid="3" name="bjSaver">
    <vt:lpwstr>iZryUG4O9W7v4YkSJ4oIH8Eo71bnL+pl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