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6183" w14:textId="5799CE1B" w:rsidR="00FC3BBC" w:rsidRDefault="00FC3BBC" w:rsidP="00FC3BBC">
      <w:pPr>
        <w:pStyle w:val="Balk2"/>
      </w:pPr>
      <w:bookmarkStart w:id="0" w:name="_Toc108080577"/>
      <w:bookmarkStart w:id="1" w:name="_Toc10203298"/>
      <w:bookmarkStart w:id="2" w:name="_Hlk134188796"/>
      <w:r>
        <w:t>BİREYSEL EMEKLİLİK TASARRUF VE YATIRIM SİSTEMİ KANUNUNDA DEĞİŞİKLİK YAPILMASINA DAİR KANUN</w:t>
      </w:r>
      <w:bookmarkEnd w:id="0"/>
      <w:bookmarkEnd w:id="1"/>
    </w:p>
    <w:p w14:paraId="4284C490" w14:textId="77777777" w:rsidR="00FC3BBC" w:rsidRPr="00FC3BBC" w:rsidRDefault="00FC3BBC" w:rsidP="00FC3BBC">
      <w:pPr>
        <w:rPr>
          <w:lang w:eastAsia="tr-TR"/>
        </w:rPr>
      </w:pPr>
    </w:p>
    <w:bookmarkEnd w:id="2"/>
    <w:p w14:paraId="71AEA75A" w14:textId="22A1186D" w:rsidR="00FC3BBC" w:rsidRPr="006A6CC2" w:rsidRDefault="00FC3BBC" w:rsidP="00FC3BBC">
      <w:pPr>
        <w:tabs>
          <w:tab w:val="left" w:pos="566"/>
          <w:tab w:val="right" w:pos="7671"/>
        </w:tabs>
        <w:spacing w:line="240" w:lineRule="exact"/>
        <w:rPr>
          <w:rFonts w:ascii="Arial" w:eastAsia="ヒラギノ明朝 Pro W3" w:hAnsi="Arial" w:cs="Arial"/>
          <w:b/>
          <w:noProof w:val="0"/>
          <w:color w:val="000000"/>
          <w:kern w:val="0"/>
          <w:position w:val="0"/>
          <w:sz w:val="20"/>
          <w:szCs w:val="20"/>
          <w:u w:val="single"/>
        </w:rPr>
      </w:pPr>
      <w:r>
        <w:rPr>
          <w:b/>
          <w:bCs/>
          <w:lang w:eastAsia="tr-TR"/>
        </w:rPr>
        <w:tab/>
        <w:t xml:space="preserve">             </w:t>
      </w:r>
      <w:r w:rsidRPr="006A6CC2">
        <w:rPr>
          <w:rFonts w:ascii="Arial" w:eastAsia="ヒラギノ明朝 Pro W3" w:hAnsi="Arial" w:cs="Arial"/>
          <w:b/>
          <w:noProof w:val="0"/>
          <w:color w:val="000000"/>
          <w:kern w:val="0"/>
          <w:position w:val="0"/>
          <w:sz w:val="20"/>
          <w:szCs w:val="20"/>
          <w:u w:val="single"/>
        </w:rPr>
        <w:t>Kanun No</w:t>
      </w:r>
      <w:r>
        <w:rPr>
          <w:rFonts w:ascii="Arial" w:eastAsia="ヒラギノ明朝 Pro W3" w:hAnsi="Arial" w:cs="Arial"/>
          <w:b/>
          <w:noProof w:val="0"/>
          <w:color w:val="000000"/>
          <w:kern w:val="0"/>
          <w:position w:val="0"/>
          <w:sz w:val="20"/>
          <w:szCs w:val="20"/>
          <w:u w:val="single"/>
        </w:rPr>
        <w:t>:</w:t>
      </w:r>
      <w:r w:rsidRPr="006A6CC2">
        <w:rPr>
          <w:rFonts w:ascii="Arial" w:eastAsia="ヒラギノ明朝 Pro W3" w:hAnsi="Arial" w:cs="Arial"/>
          <w:b/>
          <w:noProof w:val="0"/>
          <w:color w:val="000000"/>
          <w:kern w:val="0"/>
          <w:position w:val="0"/>
          <w:sz w:val="20"/>
          <w:szCs w:val="20"/>
          <w:u w:val="single"/>
        </w:rPr>
        <w:t xml:space="preserve"> </w:t>
      </w:r>
      <w:r>
        <w:rPr>
          <w:rFonts w:ascii="Arial" w:eastAsia="ヒラギノ明朝 Pro W3" w:hAnsi="Arial" w:cs="Arial"/>
          <w:b/>
          <w:noProof w:val="0"/>
          <w:color w:val="000000"/>
          <w:kern w:val="0"/>
          <w:position w:val="0"/>
          <w:sz w:val="20"/>
          <w:szCs w:val="20"/>
          <w:u w:val="single"/>
        </w:rPr>
        <w:t>6740</w:t>
      </w:r>
      <w:r w:rsidRPr="006A6CC2">
        <w:rPr>
          <w:rFonts w:ascii="Arial" w:eastAsia="ヒラギノ明朝 Pro W3" w:hAnsi="Arial" w:cs="Arial"/>
          <w:b/>
          <w:noProof w:val="0"/>
          <w:color w:val="000000"/>
          <w:kern w:val="0"/>
          <w:position w:val="0"/>
          <w:sz w:val="20"/>
          <w:szCs w:val="20"/>
        </w:rPr>
        <w:tab/>
      </w:r>
      <w:r>
        <w:rPr>
          <w:rFonts w:ascii="Arial" w:eastAsia="ヒラギノ明朝 Pro W3" w:hAnsi="Arial" w:cs="Arial"/>
          <w:b/>
          <w:noProof w:val="0"/>
          <w:color w:val="000000"/>
          <w:kern w:val="0"/>
          <w:position w:val="0"/>
          <w:sz w:val="20"/>
          <w:szCs w:val="20"/>
        </w:rPr>
        <w:t xml:space="preserve">              </w:t>
      </w:r>
      <w:r w:rsidR="00BF1DDA">
        <w:rPr>
          <w:rFonts w:ascii="Arial" w:eastAsia="ヒラギノ明朝 Pro W3" w:hAnsi="Arial" w:cs="Arial"/>
          <w:b/>
          <w:noProof w:val="0"/>
          <w:color w:val="000000"/>
          <w:kern w:val="0"/>
          <w:position w:val="0"/>
          <w:sz w:val="20"/>
          <w:szCs w:val="20"/>
        </w:rPr>
        <w:t xml:space="preserve">   </w:t>
      </w:r>
      <w:r w:rsidRPr="00BF1DDA">
        <w:rPr>
          <w:rFonts w:ascii="Arial" w:eastAsia="ヒラギノ明朝 Pro W3" w:hAnsi="Arial" w:cs="Arial"/>
          <w:b/>
          <w:noProof w:val="0"/>
          <w:color w:val="000000"/>
          <w:kern w:val="0"/>
          <w:position w:val="0"/>
          <w:sz w:val="20"/>
          <w:szCs w:val="20"/>
          <w:u w:val="single"/>
        </w:rPr>
        <w:t>Kabul Tarihi: 10</w:t>
      </w:r>
      <w:r w:rsidR="00C101D0">
        <w:rPr>
          <w:rFonts w:ascii="Arial" w:eastAsia="ヒラギノ明朝 Pro W3" w:hAnsi="Arial" w:cs="Arial"/>
          <w:b/>
          <w:noProof w:val="0"/>
          <w:color w:val="000000"/>
          <w:kern w:val="0"/>
          <w:position w:val="0"/>
          <w:sz w:val="20"/>
          <w:szCs w:val="20"/>
          <w:u w:val="single"/>
        </w:rPr>
        <w:t>.</w:t>
      </w:r>
      <w:r w:rsidRPr="00BF1DDA">
        <w:rPr>
          <w:rFonts w:ascii="Arial" w:eastAsia="ヒラギノ明朝 Pro W3" w:hAnsi="Arial" w:cs="Arial"/>
          <w:b/>
          <w:noProof w:val="0"/>
          <w:color w:val="000000"/>
          <w:kern w:val="0"/>
          <w:position w:val="0"/>
          <w:sz w:val="20"/>
          <w:szCs w:val="20"/>
          <w:u w:val="single"/>
        </w:rPr>
        <w:t>08</w:t>
      </w:r>
      <w:r w:rsidR="00C101D0">
        <w:rPr>
          <w:rFonts w:ascii="Arial" w:eastAsia="ヒラギノ明朝 Pro W3" w:hAnsi="Arial" w:cs="Arial"/>
          <w:b/>
          <w:noProof w:val="0"/>
          <w:color w:val="000000"/>
          <w:kern w:val="0"/>
          <w:position w:val="0"/>
          <w:sz w:val="20"/>
          <w:szCs w:val="20"/>
          <w:u w:val="single"/>
        </w:rPr>
        <w:t>.</w:t>
      </w:r>
      <w:r w:rsidRPr="00BF1DDA">
        <w:rPr>
          <w:rFonts w:ascii="Arial" w:eastAsia="ヒラギノ明朝 Pro W3" w:hAnsi="Arial" w:cs="Arial"/>
          <w:b/>
          <w:noProof w:val="0"/>
          <w:color w:val="000000"/>
          <w:kern w:val="0"/>
          <w:position w:val="0"/>
          <w:sz w:val="20"/>
          <w:szCs w:val="20"/>
          <w:u w:val="single"/>
        </w:rPr>
        <w:t>2016</w:t>
      </w:r>
    </w:p>
    <w:p w14:paraId="324B2638" w14:textId="21423912" w:rsidR="00FC3BBC" w:rsidRDefault="00FC3BBC" w:rsidP="00FC3BBC">
      <w:pPr>
        <w:spacing w:before="60" w:after="60"/>
        <w:ind w:left="340" w:right="340" w:firstLine="86"/>
        <w:jc w:val="center"/>
        <w:rPr>
          <w:rFonts w:ascii="Arial" w:eastAsia="ヒラギノ明朝 Pro W3" w:hAnsi="Arial" w:cs="Arial"/>
          <w:b/>
          <w:noProof w:val="0"/>
          <w:color w:val="000000"/>
          <w:kern w:val="0"/>
          <w:position w:val="0"/>
          <w:sz w:val="20"/>
          <w:szCs w:val="20"/>
          <w:u w:val="single"/>
        </w:rPr>
      </w:pPr>
      <w:r>
        <w:rPr>
          <w:rFonts w:ascii="Arial" w:eastAsia="ヒラギノ明朝 Pro W3" w:hAnsi="Arial" w:cs="Arial"/>
          <w:b/>
          <w:noProof w:val="0"/>
          <w:color w:val="000000"/>
          <w:kern w:val="0"/>
          <w:position w:val="0"/>
          <w:sz w:val="20"/>
          <w:szCs w:val="20"/>
          <w:u w:val="single"/>
        </w:rPr>
        <w:t xml:space="preserve">Resmi Gazete </w:t>
      </w:r>
      <w:bookmarkStart w:id="3" w:name="_GoBack"/>
      <w:bookmarkEnd w:id="3"/>
      <w:r>
        <w:rPr>
          <w:rFonts w:ascii="Arial" w:eastAsia="ヒラギノ明朝 Pro W3" w:hAnsi="Arial" w:cs="Arial"/>
          <w:b/>
          <w:noProof w:val="0"/>
          <w:color w:val="000000"/>
          <w:kern w:val="0"/>
          <w:position w:val="0"/>
          <w:sz w:val="20"/>
          <w:szCs w:val="20"/>
          <w:u w:val="single"/>
        </w:rPr>
        <w:t>Tarihi: 28.08.2016</w:t>
      </w:r>
      <w:r>
        <w:rPr>
          <w:rFonts w:ascii="Arial" w:eastAsia="ヒラギノ明朝 Pro W3" w:hAnsi="Arial" w:cs="Arial"/>
          <w:b/>
          <w:noProof w:val="0"/>
          <w:color w:val="000000"/>
          <w:kern w:val="0"/>
          <w:position w:val="0"/>
          <w:sz w:val="20"/>
          <w:szCs w:val="20"/>
        </w:rPr>
        <w:t xml:space="preserve">                   </w:t>
      </w:r>
      <w:r w:rsidR="00BF1DDA">
        <w:rPr>
          <w:rFonts w:ascii="Arial" w:eastAsia="ヒラギノ明朝 Pro W3" w:hAnsi="Arial" w:cs="Arial"/>
          <w:b/>
          <w:noProof w:val="0"/>
          <w:color w:val="000000"/>
          <w:kern w:val="0"/>
          <w:position w:val="0"/>
          <w:sz w:val="20"/>
          <w:szCs w:val="20"/>
        </w:rPr>
        <w:t xml:space="preserve"> </w:t>
      </w:r>
      <w:r>
        <w:rPr>
          <w:rFonts w:ascii="Arial" w:eastAsia="ヒラギノ明朝 Pro W3" w:hAnsi="Arial" w:cs="Arial"/>
          <w:b/>
          <w:noProof w:val="0"/>
          <w:color w:val="000000"/>
          <w:kern w:val="0"/>
          <w:position w:val="0"/>
          <w:sz w:val="20"/>
          <w:szCs w:val="20"/>
          <w:u w:val="single"/>
        </w:rPr>
        <w:t>Resmi Gazete No: 29812</w:t>
      </w:r>
    </w:p>
    <w:p w14:paraId="1047CB87" w14:textId="40F5D723" w:rsidR="00FC3BBC" w:rsidRDefault="00FC3BBC" w:rsidP="00FC3BBC">
      <w:pPr>
        <w:spacing w:before="60" w:after="60"/>
        <w:ind w:left="340" w:right="340" w:firstLine="86"/>
        <w:jc w:val="center"/>
        <w:rPr>
          <w:rFonts w:ascii="Calibri" w:hAnsi="Calibri"/>
          <w:sz w:val="22"/>
          <w:szCs w:val="22"/>
          <w:lang w:eastAsia="tr-TR"/>
        </w:rPr>
      </w:pPr>
      <w:r>
        <w:rPr>
          <w:rFonts w:ascii="Arial" w:eastAsia="ヒラギノ明朝 Pro W3" w:hAnsi="Arial" w:cs="Arial"/>
          <w:noProof w:val="0"/>
          <w:color w:val="000000"/>
          <w:kern w:val="0"/>
          <w:position w:val="0"/>
          <w:sz w:val="20"/>
          <w:szCs w:val="20"/>
        </w:rPr>
        <w:tab/>
      </w:r>
    </w:p>
    <w:p w14:paraId="2D57B623" w14:textId="77777777"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b/>
          <w:noProof w:val="0"/>
          <w:color w:val="000000"/>
          <w:kern w:val="0"/>
          <w:position w:val="0"/>
          <w:sz w:val="20"/>
          <w:szCs w:val="20"/>
          <w:lang w:eastAsia="tr-TR"/>
        </w:rPr>
        <w:t>MADDE 1-</w:t>
      </w:r>
      <w:r w:rsidRPr="00FC3BBC">
        <w:rPr>
          <w:rFonts w:ascii="Arial" w:eastAsiaTheme="minorHAnsi" w:hAnsi="Arial" w:cs="Arial"/>
          <w:noProof w:val="0"/>
          <w:color w:val="000000"/>
          <w:kern w:val="0"/>
          <w:position w:val="0"/>
          <w:sz w:val="20"/>
          <w:szCs w:val="20"/>
          <w:lang w:eastAsia="tr-TR"/>
        </w:rPr>
        <w:t xml:space="preserve"> 28/3/2001 tarihli ve 4632 sayılı Bireysel Emeklilik Tasarruf ve Yatırım Sistemi Kanununa aşağıdaki ek madde eklenmiştir. </w:t>
      </w:r>
    </w:p>
    <w:p w14:paraId="18F3359F" w14:textId="77777777"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noProof w:val="0"/>
          <w:color w:val="000000"/>
          <w:kern w:val="0"/>
          <w:position w:val="0"/>
          <w:sz w:val="20"/>
          <w:szCs w:val="20"/>
          <w:lang w:eastAsia="tr-TR"/>
        </w:rPr>
        <w:t xml:space="preserve">“Çalışanların otomatik olarak bir emeklilik planına dâhil edilmesi </w:t>
      </w:r>
    </w:p>
    <w:p w14:paraId="455CC8E0" w14:textId="77777777"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b/>
          <w:noProof w:val="0"/>
          <w:color w:val="000000"/>
          <w:kern w:val="0"/>
          <w:position w:val="0"/>
          <w:sz w:val="20"/>
          <w:szCs w:val="20"/>
          <w:lang w:eastAsia="tr-TR"/>
        </w:rPr>
        <w:t xml:space="preserve">EK MADDE 2- </w:t>
      </w:r>
      <w:r w:rsidRPr="00FC3BBC">
        <w:rPr>
          <w:rFonts w:ascii="Arial" w:eastAsiaTheme="minorHAnsi" w:hAnsi="Arial" w:cs="Arial"/>
          <w:noProof w:val="0"/>
          <w:color w:val="000000"/>
          <w:kern w:val="0"/>
          <w:position w:val="0"/>
          <w:sz w:val="20"/>
          <w:szCs w:val="20"/>
          <w:lang w:eastAsia="tr-TR"/>
        </w:rPr>
        <w:t xml:space="preserve">Türk vatandaşı veya 29/5/2009 tarihli ve 5901 sayılı Türk Vatandaşlığı Kanununun 28 inci maddesi kapsamında olup kırk beş yaşını doldurmamış olanlardan 31/5/2006 tarihli ve 5510 sayılı Sosyal Sigortalar ve Genel Sağlık Sigortası Kanununun 4 üncü maddesinin birinci fıkrasının (a) ve (c) bentlerine göre çalışmaya başlayanlar, işverenin bu Kanun hükümlerine göre düzenlediği bir emeklilik sözleşmesiyle emeklilik planına dâhil edilir. İşveren, çalışanını ancak otomatik katılım için emeklilik planı düzenleme konusunda Müsteşarlıkça uygun görülen şirketlerden birinin sunacağı emeklilik planına dâhil edebilir. Bakanlar Kurulu, bu madde uyarınca emeklilik planına dâhil edilecek işyerleri ile çalışanları ve bu kapsamdaki uygulama esaslarını belirlemeye yetkilidir. </w:t>
      </w:r>
    </w:p>
    <w:p w14:paraId="13930CBC" w14:textId="77777777"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noProof w:val="0"/>
          <w:color w:val="000000"/>
          <w:kern w:val="0"/>
          <w:position w:val="0"/>
          <w:sz w:val="20"/>
          <w:szCs w:val="20"/>
          <w:lang w:eastAsia="tr-TR"/>
        </w:rPr>
        <w:t xml:space="preserve">Çalışan katkı payı, çalışanın 5510 sayılı Kanunun 80 inci maddesi çerçevesinde belirlenen prime esas kazancının yüzde üçüne karşılık gelen tutardır. Bu oranı iki katına kadar artırmaya, yüzde bire kadar azaltmaya veya katkı payına maktu limit getirmeye Bakanlar Kurulu yetkilidir. Bu tutar, en geç çalışanın ücretinin ödeme gününü takip eden iş günü, bu Kanun hükümleri uyarınca işveren tarafından şirkete aktarılır. İşveren bu madde uyarınca katkı payını zamanında şirkete aktarmaz veya geç aktarırsa çalışanın 5 inci maddedeki hesaplama yöntemi uyarınca varsa birikiminde oluşan parasal kaybından sorumludur. Çalışan, otomatik katılıma ilişkin emeklilik sözleşmesinde belirlenen tutardan daha yüksek bir tutarda kesinti yapılmasını işverenden talep edebilir. </w:t>
      </w:r>
    </w:p>
    <w:p w14:paraId="0B5C51E1" w14:textId="77777777"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noProof w:val="0"/>
          <w:color w:val="000000"/>
          <w:kern w:val="0"/>
          <w:position w:val="0"/>
          <w:sz w:val="20"/>
          <w:szCs w:val="20"/>
          <w:lang w:eastAsia="tr-TR"/>
        </w:rPr>
        <w:t xml:space="preserve">Çalışan, emeklilik planına dâhil olduğunun kendisine bildirildiği tarihi müteakip iki ay içinde sözleşmeden cayabilir. Cayma hâlinde, ödenen katkı payları, varsa hesabında bulunan yatırım gelirleri ile birlikte on iş günü içinde çalışana iade edilir. Şirket, cayma süresince ödenen katkı paylarının değer kaybetmemesini sağlayacak şekilde fon yönetiminden sorumludur. Cayma hakkını kullanmayan çalışan Müsteşarlıkça belirlenen hâllerde katkı payı ödemesine ara verilmesini talep edebilir. </w:t>
      </w:r>
    </w:p>
    <w:p w14:paraId="6FBDE673" w14:textId="77777777"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noProof w:val="0"/>
          <w:color w:val="000000"/>
          <w:kern w:val="0"/>
          <w:position w:val="0"/>
          <w:sz w:val="20"/>
          <w:szCs w:val="20"/>
          <w:lang w:eastAsia="tr-TR"/>
        </w:rPr>
        <w:t xml:space="preserve">Bu madde kapsamında bir emeklilik sözleşmesi bulunan çalışanın işyerinin değişmesi hâlinde, yeni işyerinde bu madde kapsamında bir emeklilik planı var ise çalışanın birikimi ve sistemde kazandığı emekliliğe esas süresi yeni işyerindeki emeklilik sözleşmesine aktarılır. Yeni işyerinde emeklilik planının bulunmaması hâlinde çalışan, talep ederse önceki işyerinde düzenlenmiş sözleşme kapsamında katkı payı ödemeye devam edebilir, talep etmezse bu madde kapsamındaki emeklilik sözleşmesi sonlandırılır. Çalışan bu yöndeki talebini, işyeri değişikliğini izleyen ayın sonuna kadar şirkete bildirmek zorundadır. </w:t>
      </w:r>
    </w:p>
    <w:p w14:paraId="633EAF14" w14:textId="77777777"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noProof w:val="0"/>
          <w:color w:val="000000"/>
          <w:kern w:val="0"/>
          <w:position w:val="0"/>
          <w:sz w:val="20"/>
          <w:szCs w:val="20"/>
          <w:lang w:eastAsia="tr-TR"/>
        </w:rPr>
        <w:t xml:space="preserve">Çalışan adına bireysel emeklilik hesabına ödenen katkı payları üzerinden ek 1 inci maddedeki usul ve esaslara göre bu madde uyarınca ayrıca Devlet katkısı sağlanır. Çalışanın bu madde kapsamında cayma hakkını kullanmaması hâlinde, sisteme girişte bir defaya mahsus olmak üzere, ek 1 inci maddedeki Devlet katkısı hak etme ve ödeme koşuluna tabi olmak kaydıyla, bin Türk lirası tutarında ilave Devlet katkısı sağlanır. Bakanlar Kurulu, bu tutarı yarısına kadar artırmaya veya yarısına kadar azaltmaya yetkilidir. Emeklilik hakkının kullanılması hâlinde, hesabında bulunan birikimi en az on yıllık, yıllık gelir sigortası sözleşmesi kapsamında almayı tercih eden çalışana, birikiminin yüzde beşi karşılığı ek Devlet katkısı ödemesi yapılır. Bu madde hükmüne göre çalışan katkı payının takip ve tahsil sorumluluğu şirkete aittir. Müsteşarlık takip ve tahsil sorumluluğunun bu amaçla yetkilendirilecek bir kuruluşça yerine getirilmesine karar verebilir. Bankalar, Sosyal Güvenlik Kurumu ve ilgili diğer kamu kurumları, çalışan katkı payının takip ve tahsili ile Devlet katkısının hesaplanması için ihtiyaç duyulan verileri, Müsteşarlıkça belirlenen usul ve esaslara göre emeklilik gözetim merkezi ile bu maddeye göre takip ve tahsil sorumluluğu ile yetkilendirilecek kuruluşa aktarır. Emeklilik gözetim merkezi ile bu maddeye göre yetkilendirilecek kuruluş, söz konusu verileri şirketler ile paylaşabilir. Bu verilerden </w:t>
      </w:r>
      <w:r w:rsidRPr="00FC3BBC">
        <w:rPr>
          <w:rFonts w:ascii="Arial" w:eastAsiaTheme="minorHAnsi" w:hAnsi="Arial" w:cs="Arial"/>
          <w:noProof w:val="0"/>
          <w:color w:val="000000"/>
          <w:kern w:val="0"/>
          <w:position w:val="0"/>
          <w:sz w:val="20"/>
          <w:szCs w:val="20"/>
          <w:lang w:eastAsia="tr-TR"/>
        </w:rPr>
        <w:lastRenderedPageBreak/>
        <w:t xml:space="preserve">kişisel nitelikte olanlar, veri sahibinin açık rızasının alınmasına gerek olmaksızın ilgili kuruluşlar arasında paylaşılabilir ve veri paylaşımı, kişisel verilerin korunmasına ilişkin mevzuat hükümlerine aykırılık teşkil etmez. </w:t>
      </w:r>
    </w:p>
    <w:p w14:paraId="76CF8248" w14:textId="77777777"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noProof w:val="0"/>
          <w:color w:val="000000"/>
          <w:kern w:val="0"/>
          <w:position w:val="0"/>
          <w:sz w:val="20"/>
          <w:szCs w:val="20"/>
          <w:lang w:eastAsia="tr-TR"/>
        </w:rPr>
        <w:t xml:space="preserve">Bu madde kapsamında sunulan emeklilik planları kapsamında şirketlerce 7 nci madde uyarınca fon işletim gideri kesintisi dışında başka bir kesinti yapılamaz. Çalışan katkı payı, işverenin taraf olduğu 9/6/1932 tarihli ve 2004 sayılı İcra ve İflas Kanunu kapsamındaki haciz ve iflas yoluyla takip bakımından işçi alacağı niteliğinde imtiyazlı bir alacaktır. İşverenler bu madde kapsamındaki yükümlülükleri bakımından Çalışma ve Sosyal Güvenlik Bakanlığı tarafından denetlenir. İşverenin bu madde kapsamındaki yükümlülüklerine ve bu madde uyarınca yürürlüğe konulan düzenlemelere uymaması hâlinde, her bir ihlal için Çalışma ve Sosyal Güvenlik Bakanlığınca yüz Türk lirası idari para cezası uygulanır. </w:t>
      </w:r>
    </w:p>
    <w:p w14:paraId="11C5F334" w14:textId="77777777"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noProof w:val="0"/>
          <w:color w:val="000000"/>
          <w:kern w:val="0"/>
          <w:position w:val="0"/>
          <w:sz w:val="20"/>
          <w:szCs w:val="20"/>
          <w:lang w:eastAsia="tr-TR"/>
        </w:rPr>
        <w:t xml:space="preserve">Bakan, belirleyeceği esaslar dâhilinde bu Kanun kapsamındaki Devlet katkısının ilgililerin hesaben takip edebilmesini sağlayacak şekilde taahhüt olarak hesaplanmasına ve taahhüt edilen tutarların ödenmesine karar vermeye ve mevcut katılımcıların Devlet katkılarının değerlendirilmesine ilişkin usul ve esasları belirlemeye yetkilidir. Bakan, bu Kanun uyarınca kurulacak fonların içeriğini belirleyebilir ve fonlara sayı sınırı getirebilir. Bu Kanun uyarınca yapılacak bildirimler, Müsteşarlığın belirleyeceği usul ve esaslar çerçevesinde güvenli elektronik iletişim araçları ile de yapılabilir. </w:t>
      </w:r>
    </w:p>
    <w:p w14:paraId="720FCCDB" w14:textId="77777777"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noProof w:val="0"/>
          <w:color w:val="000000"/>
          <w:kern w:val="0"/>
          <w:position w:val="0"/>
          <w:sz w:val="20"/>
          <w:szCs w:val="20"/>
          <w:lang w:eastAsia="tr-TR"/>
        </w:rPr>
        <w:t>Çalışanın işvereni aracılığıyla bir emeklilik planına dâhil olması, işveren tarafından şirket ve plan belirlenmesinde göz önünde bulundurulacak kriterler, katkı paylarının yatırıma yönlendirileceği fonlar, işverenin şirket ile yapacağı sözleşme, cayma hakkı, çalışanın işyerinin değişmesi hâlinde işverenin çalışanı bir emeklilik planına dâhil etmesi, işyeri değişikliğinde birikimin aktarılması, çalışma ilişkisi sona eren çalışanın talebi üzerine ilgili emeklilik planına ödeme yapması, ara verme, sistemden ayrılma, Devlet katkısının ödenmesi ve bu maddenin uygulanmasına ilişkin diğer usul ve esaslar Müsteşarlık tarafından belirlenir.”</w:t>
      </w:r>
    </w:p>
    <w:p w14:paraId="12466DF2" w14:textId="77777777" w:rsidR="00C17880" w:rsidRDefault="00C17880" w:rsidP="00FC3BBC">
      <w:pPr>
        <w:spacing w:line="276" w:lineRule="auto"/>
        <w:ind w:left="170"/>
        <w:rPr>
          <w:rFonts w:ascii="Arial" w:eastAsiaTheme="minorHAnsi" w:hAnsi="Arial" w:cs="Arial"/>
          <w:b/>
          <w:noProof w:val="0"/>
          <w:color w:val="000000"/>
          <w:kern w:val="0"/>
          <w:position w:val="0"/>
          <w:sz w:val="20"/>
          <w:szCs w:val="20"/>
          <w:lang w:eastAsia="tr-TR"/>
        </w:rPr>
      </w:pPr>
    </w:p>
    <w:p w14:paraId="6332EBE3" w14:textId="6A5677FF"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b/>
          <w:noProof w:val="0"/>
          <w:color w:val="000000"/>
          <w:kern w:val="0"/>
          <w:position w:val="0"/>
          <w:sz w:val="20"/>
          <w:szCs w:val="20"/>
          <w:lang w:eastAsia="tr-TR"/>
        </w:rPr>
        <w:t>MADDE 2</w:t>
      </w:r>
      <w:r w:rsidRPr="00FC3BBC">
        <w:rPr>
          <w:rFonts w:ascii="Arial" w:eastAsiaTheme="minorHAnsi" w:hAnsi="Arial" w:cs="Arial"/>
          <w:noProof w:val="0"/>
          <w:color w:val="000000"/>
          <w:kern w:val="0"/>
          <w:position w:val="0"/>
          <w:sz w:val="20"/>
          <w:szCs w:val="20"/>
          <w:lang w:eastAsia="tr-TR"/>
        </w:rPr>
        <w:t xml:space="preserve">- 4632 sayılı Kanuna aşağıdaki geçici madde eklenmiştir. </w:t>
      </w:r>
    </w:p>
    <w:p w14:paraId="339046E5" w14:textId="3F6B7E29"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noProof w:val="0"/>
          <w:color w:val="000000"/>
          <w:kern w:val="0"/>
          <w:position w:val="0"/>
          <w:sz w:val="20"/>
          <w:szCs w:val="20"/>
          <w:lang w:eastAsia="tr-TR"/>
        </w:rPr>
        <w:t>“</w:t>
      </w:r>
      <w:r w:rsidRPr="00FC3BBC">
        <w:rPr>
          <w:rFonts w:ascii="Arial" w:eastAsiaTheme="minorHAnsi" w:hAnsi="Arial" w:cs="Arial"/>
          <w:b/>
          <w:noProof w:val="0"/>
          <w:color w:val="000000"/>
          <w:kern w:val="0"/>
          <w:position w:val="0"/>
          <w:sz w:val="20"/>
          <w:szCs w:val="20"/>
          <w:lang w:eastAsia="tr-TR"/>
        </w:rPr>
        <w:t>GEÇİCİ MADDE 2-</w:t>
      </w:r>
      <w:r w:rsidRPr="00FC3BBC">
        <w:rPr>
          <w:rFonts w:ascii="Arial" w:eastAsiaTheme="minorHAnsi" w:hAnsi="Arial" w:cs="Arial"/>
          <w:noProof w:val="0"/>
          <w:color w:val="000000"/>
          <w:kern w:val="0"/>
          <w:position w:val="0"/>
          <w:sz w:val="20"/>
          <w:szCs w:val="20"/>
          <w:lang w:eastAsia="tr-TR"/>
        </w:rPr>
        <w:t xml:space="preserve"> Bu maddeyi ihdas eden Kanunun yürürlüğe girdiği tarihte kırk beş yaşını doldurmamış olan çalışanlar, ek 2 nci madde hükümleri çerçevesinde otomatik olarak emeklilik planına dâhil edilir.” </w:t>
      </w:r>
    </w:p>
    <w:p w14:paraId="4715737D" w14:textId="77777777" w:rsidR="00FC3BBC" w:rsidRDefault="00FC3BBC" w:rsidP="00FC3BBC">
      <w:pPr>
        <w:spacing w:line="276" w:lineRule="auto"/>
        <w:ind w:left="170"/>
        <w:rPr>
          <w:rFonts w:ascii="Arial" w:eastAsiaTheme="minorHAnsi" w:hAnsi="Arial" w:cs="Arial"/>
          <w:b/>
          <w:noProof w:val="0"/>
          <w:color w:val="000000"/>
          <w:kern w:val="0"/>
          <w:position w:val="0"/>
          <w:sz w:val="20"/>
          <w:szCs w:val="20"/>
          <w:lang w:eastAsia="tr-TR"/>
        </w:rPr>
      </w:pPr>
    </w:p>
    <w:p w14:paraId="40FC9A74" w14:textId="6134F12F"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b/>
          <w:noProof w:val="0"/>
          <w:color w:val="000000"/>
          <w:kern w:val="0"/>
          <w:position w:val="0"/>
          <w:sz w:val="20"/>
          <w:szCs w:val="20"/>
          <w:lang w:eastAsia="tr-TR"/>
        </w:rPr>
        <w:t>MADDE 3-</w:t>
      </w:r>
      <w:r w:rsidRPr="00FC3BBC">
        <w:rPr>
          <w:rFonts w:ascii="Arial" w:eastAsiaTheme="minorHAnsi" w:hAnsi="Arial" w:cs="Arial"/>
          <w:noProof w:val="0"/>
          <w:color w:val="000000"/>
          <w:kern w:val="0"/>
          <w:position w:val="0"/>
          <w:sz w:val="20"/>
          <w:szCs w:val="20"/>
          <w:lang w:eastAsia="tr-TR"/>
        </w:rPr>
        <w:t xml:space="preserve"> Bu Kanun 1/1/2017 tarihinde yürürlüğe girer. </w:t>
      </w:r>
    </w:p>
    <w:p w14:paraId="16216F4F" w14:textId="77777777" w:rsidR="00FC3BBC" w:rsidRDefault="00FC3BBC" w:rsidP="00FC3BBC">
      <w:pPr>
        <w:spacing w:line="276" w:lineRule="auto"/>
        <w:ind w:left="170"/>
        <w:rPr>
          <w:rFonts w:ascii="Arial" w:eastAsiaTheme="minorHAnsi" w:hAnsi="Arial" w:cs="Arial"/>
          <w:b/>
          <w:noProof w:val="0"/>
          <w:color w:val="000000"/>
          <w:kern w:val="0"/>
          <w:position w:val="0"/>
          <w:sz w:val="20"/>
          <w:szCs w:val="20"/>
          <w:lang w:eastAsia="tr-TR"/>
        </w:rPr>
      </w:pPr>
    </w:p>
    <w:p w14:paraId="35BE371F" w14:textId="1CFC4CF7" w:rsidR="00FC3BBC" w:rsidRPr="00FC3BBC" w:rsidRDefault="00FC3BBC" w:rsidP="00FC3BBC">
      <w:pPr>
        <w:spacing w:line="276" w:lineRule="auto"/>
        <w:ind w:left="170"/>
        <w:rPr>
          <w:rFonts w:ascii="Arial" w:eastAsiaTheme="minorHAnsi" w:hAnsi="Arial" w:cs="Arial"/>
          <w:noProof w:val="0"/>
          <w:color w:val="000000"/>
          <w:kern w:val="0"/>
          <w:position w:val="0"/>
          <w:sz w:val="20"/>
          <w:szCs w:val="20"/>
          <w:lang w:eastAsia="tr-TR"/>
        </w:rPr>
      </w:pPr>
      <w:r w:rsidRPr="00FC3BBC">
        <w:rPr>
          <w:rFonts w:ascii="Arial" w:eastAsiaTheme="minorHAnsi" w:hAnsi="Arial" w:cs="Arial"/>
          <w:b/>
          <w:noProof w:val="0"/>
          <w:color w:val="000000"/>
          <w:kern w:val="0"/>
          <w:position w:val="0"/>
          <w:sz w:val="20"/>
          <w:szCs w:val="20"/>
          <w:lang w:eastAsia="tr-TR"/>
        </w:rPr>
        <w:t>MADDE 4-</w:t>
      </w:r>
      <w:r w:rsidRPr="00FC3BBC">
        <w:rPr>
          <w:rFonts w:ascii="Arial" w:eastAsiaTheme="minorHAnsi" w:hAnsi="Arial" w:cs="Arial"/>
          <w:noProof w:val="0"/>
          <w:color w:val="000000"/>
          <w:kern w:val="0"/>
          <w:position w:val="0"/>
          <w:sz w:val="20"/>
          <w:szCs w:val="20"/>
          <w:lang w:eastAsia="tr-TR"/>
        </w:rPr>
        <w:t xml:space="preserve"> Bu Kanun hükümlerini Bakanlar Kurulu yürütür.</w:t>
      </w:r>
    </w:p>
    <w:p w14:paraId="69E807AB"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8EF6B" w14:textId="77777777" w:rsidR="00FC3BBC" w:rsidRDefault="00FC3BBC" w:rsidP="00FC3BBC">
      <w:r>
        <w:separator/>
      </w:r>
    </w:p>
  </w:endnote>
  <w:endnote w:type="continuationSeparator" w:id="0">
    <w:p w14:paraId="60845008" w14:textId="77777777" w:rsidR="00FC3BBC" w:rsidRDefault="00FC3BBC" w:rsidP="00FC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5187" w14:textId="7CC45804" w:rsidR="00FC3BBC" w:rsidRPr="00C101D0" w:rsidRDefault="00C101D0" w:rsidP="00C101D0">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bjFooterEvenPageDocProperty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7DA7C" w14:textId="0B1463DE" w:rsidR="00FC3BBC" w:rsidRPr="00C101D0" w:rsidRDefault="00C101D0" w:rsidP="00C101D0">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bjFooterBothDocProperty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36E5" w14:textId="6C7C3B79" w:rsidR="00FC3BBC" w:rsidRPr="00C101D0" w:rsidRDefault="00C101D0" w:rsidP="00C101D0">
    <w:pPr>
      <w:pStyle w:val="AltBilgi"/>
      <w:jc w:val="left"/>
    </w:pPr>
    <w:r>
      <w:rPr>
        <w:rFonts w:ascii="Arial" w:eastAsiaTheme="minorHAnsi" w:hAnsi="Arial" w:cs="Arial"/>
        <w:noProof w:val="0"/>
        <w:color w:val="000000"/>
        <w:kern w:val="0"/>
        <w:position w:val="0"/>
        <w:sz w:val="20"/>
        <w:szCs w:val="20"/>
        <w:lang w:eastAsia="tr-TR"/>
      </w:rPr>
      <w:fldChar w:fldCharType="begin" w:fldLock="1"/>
    </w:r>
    <w:r>
      <w:rPr>
        <w:rFonts w:ascii="Arial" w:eastAsiaTheme="minorHAnsi" w:hAnsi="Arial" w:cs="Arial"/>
        <w:noProof w:val="0"/>
        <w:color w:val="000000"/>
        <w:kern w:val="0"/>
        <w:position w:val="0"/>
        <w:sz w:val="20"/>
        <w:szCs w:val="20"/>
        <w:lang w:eastAsia="tr-TR"/>
      </w:rPr>
      <w:instrText xml:space="preserve"> DOCPROPERTY bjFooterFirstPageDocProperty \* MERGEFORMAT </w:instrText>
    </w:r>
    <w:r>
      <w:rPr>
        <w:rFonts w:ascii="Arial" w:eastAsiaTheme="minorHAnsi" w:hAnsi="Arial" w:cs="Arial"/>
        <w:noProof w:val="0"/>
        <w:color w:val="000000"/>
        <w:kern w:val="0"/>
        <w:position w:val="0"/>
        <w:sz w:val="20"/>
        <w:szCs w:val="20"/>
        <w:lang w:eastAsia="tr-TR"/>
      </w:rPr>
      <w:fldChar w:fldCharType="separate"/>
    </w:r>
    <w:r w:rsidRPr="006A6CC2">
      <w:rPr>
        <w:rFonts w:ascii="Malgun Gothic" w:eastAsia="Malgun Gothic" w:hAnsi="Malgun Gothic" w:cs="Arial"/>
        <w:b/>
        <w:bCs/>
        <w:noProof w:val="0"/>
        <w:color w:val="999999"/>
        <w:kern w:val="0"/>
        <w:position w:val="0"/>
        <w:sz w:val="20"/>
        <w:szCs w:val="20"/>
        <w:lang w:eastAsia="tr-TR"/>
      </w:rPr>
      <w:t>Sınıflandırma|</w:t>
    </w:r>
    <w:r w:rsidRPr="006A6CC2">
      <w:rPr>
        <w:rFonts w:ascii="Malgun Gothic" w:eastAsia="Malgun Gothic" w:hAnsi="Malgun Gothic" w:cs="Arial"/>
        <w:b/>
        <w:bCs/>
        <w:noProof w:val="0"/>
        <w:color w:val="339966"/>
        <w:kern w:val="0"/>
        <w:position w:val="0"/>
        <w:sz w:val="20"/>
        <w:szCs w:val="20"/>
        <w:lang w:eastAsia="tr-TR"/>
      </w:rPr>
      <w:t>Genel</w:t>
    </w:r>
    <w:r>
      <w:rPr>
        <w:rFonts w:ascii="Arial" w:eastAsiaTheme="minorHAnsi" w:hAnsi="Arial" w:cs="Arial"/>
        <w:noProof w:val="0"/>
        <w:color w:val="000000"/>
        <w:kern w:val="0"/>
        <w:position w:val="0"/>
        <w:sz w:val="20"/>
        <w:szCs w:val="20"/>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BA16" w14:textId="77777777" w:rsidR="00FC3BBC" w:rsidRDefault="00FC3BBC" w:rsidP="00FC3BBC">
      <w:r>
        <w:separator/>
      </w:r>
    </w:p>
  </w:footnote>
  <w:footnote w:type="continuationSeparator" w:id="0">
    <w:p w14:paraId="4541598B" w14:textId="77777777" w:rsidR="00FC3BBC" w:rsidRDefault="00FC3BBC" w:rsidP="00FC3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A19B" w14:textId="77777777" w:rsidR="00FC3BBC" w:rsidRDefault="00FC3BB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FA90" w14:textId="77777777" w:rsidR="00FC3BBC" w:rsidRDefault="00FC3BB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F86" w14:textId="77777777" w:rsidR="00FC3BBC" w:rsidRDefault="00FC3B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72"/>
    <w:rsid w:val="00626E7B"/>
    <w:rsid w:val="007B5F72"/>
    <w:rsid w:val="00BF1DDA"/>
    <w:rsid w:val="00C101D0"/>
    <w:rsid w:val="00C17880"/>
    <w:rsid w:val="00FC3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6BCF6"/>
  <w15:chartTrackingRefBased/>
  <w15:docId w15:val="{EAB53E87-51D8-44E4-AC7D-5A100651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BBC"/>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FC3BBC"/>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3BBC"/>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FC3BBC"/>
    <w:pPr>
      <w:tabs>
        <w:tab w:val="center" w:pos="4536"/>
        <w:tab w:val="right" w:pos="9072"/>
      </w:tabs>
    </w:pPr>
  </w:style>
  <w:style w:type="character" w:customStyle="1" w:styleId="stBilgiChar">
    <w:name w:val="Üst Bilgi Char"/>
    <w:basedOn w:val="VarsaylanParagrafYazTipi"/>
    <w:link w:val="stBilgi"/>
    <w:uiPriority w:val="99"/>
    <w:rsid w:val="00FC3BBC"/>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FC3BBC"/>
    <w:pPr>
      <w:tabs>
        <w:tab w:val="center" w:pos="4536"/>
        <w:tab w:val="right" w:pos="9072"/>
      </w:tabs>
    </w:pPr>
  </w:style>
  <w:style w:type="character" w:customStyle="1" w:styleId="AltBilgiChar">
    <w:name w:val="Alt Bilgi Char"/>
    <w:basedOn w:val="VarsaylanParagrafYazTipi"/>
    <w:link w:val="AltBilgi"/>
    <w:uiPriority w:val="99"/>
    <w:rsid w:val="00FC3BBC"/>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3AB7810-8037-46F6-B20B-AC9CF24897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1051</Words>
  <Characters>5993</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cp:lastPrinted>2023-05-05T14:46:00Z</cp:lastPrinted>
  <dcterms:created xsi:type="dcterms:W3CDTF">2023-05-05T11:20:00Z</dcterms:created>
  <dcterms:modified xsi:type="dcterms:W3CDTF">2023-05-05T14:46:00Z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c694a273-aff2-4844-b7af-dc2d10779b2f</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