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8E4E" w14:textId="77777777" w:rsidR="005F54F7" w:rsidRPr="005F54F7" w:rsidRDefault="005F54F7" w:rsidP="005F54F7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</w:pPr>
      <w:bookmarkStart w:id="0" w:name="_Toc111630409"/>
      <w:bookmarkStart w:id="1" w:name="_Toc111630543"/>
      <w:bookmarkStart w:id="2" w:name="_Toc111632095"/>
      <w:bookmarkStart w:id="3" w:name="_Toc111632883"/>
      <w:bookmarkStart w:id="4" w:name="_Toc112828364"/>
      <w:bookmarkStart w:id="5" w:name="_Toc10203495"/>
      <w:bookmarkStart w:id="6" w:name="_Toc105418667"/>
      <w:bookmarkStart w:id="7" w:name="e23"/>
      <w:r w:rsidRPr="005F54F7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Resmi Gazete Dışından Kaynak</w:t>
      </w:r>
    </w:p>
    <w:p w14:paraId="1A380EF9" w14:textId="7D8161E1" w:rsidR="005F54F7" w:rsidRPr="00464155" w:rsidRDefault="005F54F7" w:rsidP="005F54F7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</w:pPr>
      <w:r w:rsidRPr="005F54F7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Hazine Müsteşarlığı</w:t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 w:rsidR="00464155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  <w:t>31.12.2003</w:t>
      </w:r>
      <w:bookmarkStart w:id="8" w:name="_GoBack"/>
      <w:bookmarkEnd w:id="8"/>
    </w:p>
    <w:p w14:paraId="199EEBDF" w14:textId="77777777" w:rsidR="005F54F7" w:rsidRDefault="005F54F7" w:rsidP="005F54F7">
      <w:pPr>
        <w:pStyle w:val="Balk2"/>
      </w:pPr>
    </w:p>
    <w:p w14:paraId="18CDDFCF" w14:textId="769AF440" w:rsidR="005F54F7" w:rsidRDefault="005F54F7" w:rsidP="005F54F7">
      <w:pPr>
        <w:pStyle w:val="Balk2"/>
      </w:pPr>
      <w:r w:rsidRPr="00A27FC1">
        <w:t>EMEKLİLİK ŞİRKETLERİNİN KULLANACAKLARI HESAPLAR İLE BU HESAPLARIN AÇIKLAMALARINA</w:t>
      </w:r>
      <w:bookmarkStart w:id="9" w:name="_Toc111630410"/>
      <w:bookmarkStart w:id="10" w:name="_Toc111630544"/>
      <w:bookmarkEnd w:id="0"/>
      <w:bookmarkEnd w:id="1"/>
      <w:r w:rsidRPr="00A27FC1">
        <w:t xml:space="preserve"> İLİŞKİN GENELGEDE (GENELGE NO: 2003/5) DEĞİŞİKLİK YAPILMASI HAKKINDA GENELGE</w:t>
      </w:r>
      <w:bookmarkEnd w:id="9"/>
      <w:bookmarkEnd w:id="10"/>
      <w:r w:rsidRPr="00A27FC1">
        <w:t xml:space="preserve"> </w:t>
      </w:r>
      <w:bookmarkStart w:id="11" w:name="_Toc111630411"/>
      <w:bookmarkStart w:id="12" w:name="_Toc111630545"/>
      <w:r w:rsidRPr="00A27FC1">
        <w:t>(GENELGE NO</w:t>
      </w:r>
      <w:r>
        <w:t>:</w:t>
      </w:r>
      <w:r w:rsidRPr="00A27FC1">
        <w:t xml:space="preserve"> 2003/7)</w:t>
      </w:r>
      <w:bookmarkEnd w:id="2"/>
      <w:bookmarkEnd w:id="3"/>
      <w:bookmarkEnd w:id="4"/>
      <w:bookmarkEnd w:id="5"/>
      <w:bookmarkEnd w:id="6"/>
      <w:bookmarkEnd w:id="11"/>
      <w:bookmarkEnd w:id="12"/>
    </w:p>
    <w:p w14:paraId="74172445" w14:textId="31992EDE" w:rsidR="005F54F7" w:rsidRDefault="005F54F7" w:rsidP="005F54F7">
      <w:pPr>
        <w:rPr>
          <w:lang w:eastAsia="tr-TR"/>
        </w:rPr>
      </w:pPr>
    </w:p>
    <w:p w14:paraId="5CA7B89D" w14:textId="77777777" w:rsidR="005F54F7" w:rsidRPr="005F54F7" w:rsidRDefault="005F54F7" w:rsidP="005F54F7">
      <w:pPr>
        <w:rPr>
          <w:lang w:eastAsia="tr-TR"/>
        </w:rPr>
      </w:pPr>
    </w:p>
    <w:p w14:paraId="2D0FD0CE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1</w:t>
      </w: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- Emeklilik Şirketlerinin Kullanacakları Hesaplar ile Bu Hesapların Açıklamalarına İlişkin Genelgenin (Genelge No : 2003/5) birinci paragrafı aşağıdaki gibi değiştirilmiştir.</w:t>
      </w:r>
    </w:p>
    <w:p w14:paraId="52CA490C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“Sigorta ve reasürans şirketlerince uygulanmakta olan tekdüzen hesap planına eklenen ve emeklilik şirketlerinin 31.12.2004 tarihine kadar geçici olarak kullanacakları hesaplar ile bu hesaplara ilişkin açıklamalar aşağıda yer almaktadır.”</w:t>
      </w:r>
    </w:p>
    <w:p w14:paraId="356145E0" w14:textId="77777777" w:rsidR="005F54F7" w:rsidRPr="00BE4C30" w:rsidRDefault="005F54F7" w:rsidP="005F54F7">
      <w:pPr>
        <w:widowControl w:val="0"/>
        <w:autoSpaceDE w:val="0"/>
        <w:autoSpaceDN w:val="0"/>
        <w:adjustRightInd w:val="0"/>
        <w:ind w:left="170" w:right="170"/>
        <w:rPr>
          <w:rFonts w:ascii="Arial" w:hAnsi="Arial" w:cs="Arial"/>
          <w:b/>
          <w:bCs/>
          <w:position w:val="0"/>
          <w:sz w:val="20"/>
          <w:szCs w:val="20"/>
        </w:rPr>
      </w:pPr>
    </w:p>
    <w:p w14:paraId="6FC26728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2 – </w:t>
      </w: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Şirketlerinin Kullanacakları Hesaplar ile Bu Hesapların Açıklamalarına İlişkin Genelgeye (Genelge No : 2003/5) birinci paragraftan sonra gelmek üzere “Nakit Değerler” başlığı altında aşağıda belirtilen hesap ve açıklaması eklenmiştir :</w:t>
      </w:r>
    </w:p>
    <w:p w14:paraId="0FFC5FFF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4606"/>
      </w:tblGrid>
      <w:tr w:rsidR="005F54F7" w:rsidRPr="005F54F7" w14:paraId="102FDBCE" w14:textId="77777777" w:rsidTr="00B73379">
        <w:trPr>
          <w:trHeight w:val="227"/>
        </w:trPr>
        <w:tc>
          <w:tcPr>
            <w:tcW w:w="1495" w:type="dxa"/>
          </w:tcPr>
          <w:p w14:paraId="5FFB73DB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14:paraId="4C987791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NAKİT DEĞERLER</w:t>
            </w:r>
          </w:p>
        </w:tc>
      </w:tr>
      <w:tr w:rsidR="005F54F7" w:rsidRPr="005F54F7" w14:paraId="57EACA6E" w14:textId="77777777" w:rsidTr="00B73379">
        <w:trPr>
          <w:trHeight w:val="227"/>
        </w:trPr>
        <w:tc>
          <w:tcPr>
            <w:tcW w:w="1495" w:type="dxa"/>
          </w:tcPr>
          <w:p w14:paraId="1710376B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0.03.1.01</w:t>
            </w:r>
          </w:p>
        </w:tc>
        <w:tc>
          <w:tcPr>
            <w:tcW w:w="4606" w:type="dxa"/>
          </w:tcPr>
          <w:p w14:paraId="642AC595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SERBEST MENKUL DEĞERLER CÜZDANI</w:t>
            </w:r>
          </w:p>
        </w:tc>
      </w:tr>
      <w:tr w:rsidR="005F54F7" w:rsidRPr="005F54F7" w14:paraId="71F8A577" w14:textId="77777777" w:rsidTr="00B73379">
        <w:trPr>
          <w:trHeight w:val="227"/>
        </w:trPr>
        <w:tc>
          <w:tcPr>
            <w:tcW w:w="1495" w:type="dxa"/>
          </w:tcPr>
          <w:p w14:paraId="6564CDFA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0.03.1.01.1.08</w:t>
            </w:r>
          </w:p>
        </w:tc>
        <w:tc>
          <w:tcPr>
            <w:tcW w:w="4606" w:type="dxa"/>
          </w:tcPr>
          <w:p w14:paraId="673EDEDD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 xml:space="preserve">Emeklilik Yatırım Fonları </w:t>
            </w:r>
          </w:p>
        </w:tc>
      </w:tr>
    </w:tbl>
    <w:p w14:paraId="6AF0B69F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2F9ADD49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AÇIKLAMA:</w:t>
      </w:r>
    </w:p>
    <w:p w14:paraId="6328062B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0.03.1.01.08 Emeklilik Yatırım Fonları</w:t>
      </w:r>
    </w:p>
    <w:p w14:paraId="118198DC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yatırım fon içtüzüğü çerçevesinde tahsis edilen avansa karşılık gelen fon paylarının takip edildiği hesaptır. Bununla birlikte, emeklilik yatırım fonlarına tahsis edilen avanslar 2003/5 No’lu Genelge uyarınca 1.10.1.05 nolu hesapta da takip edilebilecektir.</w:t>
      </w:r>
    </w:p>
    <w:p w14:paraId="33D1DF5A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157258B7" w14:textId="71CE7571" w:rsid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3 - </w:t>
      </w: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Şirketlerinin Kullanacakları Hesaplar ile Bu Hesapların Açıklamalarına İlişkin Genelgenin (Genelge No : 2003/5) “Eklenecek Pasif Hesaplar” kısmına aşağıda belirtilen hesaplar ile söz konusu hesapların açıklamaları eklenmiştir:</w:t>
      </w:r>
    </w:p>
    <w:p w14:paraId="187C67CA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</w:p>
    <w:p w14:paraId="5EC20FDD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EKLENECEK PASİF HESAPLAR</w:t>
      </w:r>
    </w:p>
    <w:p w14:paraId="55E771A4" w14:textId="77777777" w:rsidR="005F54F7" w:rsidRPr="00BE4C30" w:rsidRDefault="005F54F7" w:rsidP="005F54F7">
      <w:pPr>
        <w:widowControl w:val="0"/>
        <w:autoSpaceDE w:val="0"/>
        <w:autoSpaceDN w:val="0"/>
        <w:adjustRightInd w:val="0"/>
        <w:ind w:left="170" w:right="170"/>
        <w:rPr>
          <w:rFonts w:ascii="Arial" w:hAnsi="Arial" w:cs="Arial"/>
          <w:b/>
          <w:bCs/>
          <w:positio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5525"/>
      </w:tblGrid>
      <w:tr w:rsidR="005F54F7" w:rsidRPr="005F54F7" w14:paraId="39B294DE" w14:textId="77777777" w:rsidTr="00B73379">
        <w:trPr>
          <w:trHeight w:val="227"/>
        </w:trPr>
        <w:tc>
          <w:tcPr>
            <w:tcW w:w="1495" w:type="dxa"/>
          </w:tcPr>
          <w:p w14:paraId="2AFF910C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3.10.1</w:t>
            </w:r>
          </w:p>
        </w:tc>
        <w:tc>
          <w:tcPr>
            <w:tcW w:w="5525" w:type="dxa"/>
          </w:tcPr>
          <w:p w14:paraId="296C457D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BİREYSEL EMEKLİLİK SİSTEMİ BORÇLARI</w:t>
            </w:r>
          </w:p>
        </w:tc>
      </w:tr>
      <w:tr w:rsidR="005F54F7" w:rsidRPr="005F54F7" w14:paraId="1223CBD0" w14:textId="77777777" w:rsidTr="00B73379">
        <w:trPr>
          <w:trHeight w:val="227"/>
        </w:trPr>
        <w:tc>
          <w:tcPr>
            <w:tcW w:w="1495" w:type="dxa"/>
          </w:tcPr>
          <w:p w14:paraId="1305D4EE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3.10.1.09</w:t>
            </w:r>
          </w:p>
        </w:tc>
        <w:tc>
          <w:tcPr>
            <w:tcW w:w="5525" w:type="dxa"/>
          </w:tcPr>
          <w:p w14:paraId="61C65E7D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Emeklilik Gözetim Merkezine Borçlar</w:t>
            </w:r>
          </w:p>
        </w:tc>
      </w:tr>
      <w:tr w:rsidR="005F54F7" w:rsidRPr="005F54F7" w14:paraId="49CB20AA" w14:textId="77777777" w:rsidTr="00B73379">
        <w:trPr>
          <w:trHeight w:val="227"/>
        </w:trPr>
        <w:tc>
          <w:tcPr>
            <w:tcW w:w="1495" w:type="dxa"/>
          </w:tcPr>
          <w:p w14:paraId="024E9B58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3.10.1.10</w:t>
            </w:r>
          </w:p>
        </w:tc>
        <w:tc>
          <w:tcPr>
            <w:tcW w:w="5525" w:type="dxa"/>
          </w:tcPr>
          <w:p w14:paraId="1CAA3BF6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Bonus ve İndirimler Karşılığı</w:t>
            </w:r>
          </w:p>
        </w:tc>
      </w:tr>
    </w:tbl>
    <w:p w14:paraId="10B0F181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6F2D89DF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AÇIKLAMALAR:</w:t>
      </w:r>
    </w:p>
    <w:p w14:paraId="410F3010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3.10.1.09 Emeklilik Gözetim Merkezine Borçlar</w:t>
      </w:r>
    </w:p>
    <w:p w14:paraId="7EB3BFFB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Gözetim Merkezi’ne yıllık aidat, bireysel emeklilik aracıları sınav ücretleri, işlem bazlı ücretler ile diğer ücretlerden kaynaklanan borçların izlendiği bir hesaptır.</w:t>
      </w:r>
    </w:p>
    <w:p w14:paraId="50D90F25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3226EE29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3.10.1.10 Bonus ve İndirimler Karşılığı</w:t>
      </w:r>
    </w:p>
    <w:p w14:paraId="1A8B6E11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Emeklilik planı çerçevesinde ilerleyen yıllarda katılımcılara sunulacak bonuslarla ilgili olarak ayrılacak karşılıklar bu hesapta takip edilir. </w:t>
      </w:r>
    </w:p>
    <w:p w14:paraId="720A4D7A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104B3038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4 - </w:t>
      </w: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Şirketlerinin Kullanacakları Hesaplar ile Bu Hesapların Açıklamalarına ilişkin Genelgenin (Genelge No : 2003/5) “Eklenecek Gelir Tablosu Hesapları” kısmına aşağıda belirtilen hesaplar ile söz konusu hesapların açıklamaları eklenmiştir :</w:t>
      </w:r>
    </w:p>
    <w:p w14:paraId="2F85813A" w14:textId="77777777" w:rsidR="005F54F7" w:rsidRPr="00BE4C30" w:rsidRDefault="005F54F7" w:rsidP="005F54F7">
      <w:pPr>
        <w:widowControl w:val="0"/>
        <w:autoSpaceDE w:val="0"/>
        <w:autoSpaceDN w:val="0"/>
        <w:adjustRightInd w:val="0"/>
        <w:ind w:left="170" w:right="170"/>
        <w:rPr>
          <w:rFonts w:ascii="Arial" w:hAnsi="Arial" w:cs="Arial"/>
          <w:b/>
          <w:bCs/>
          <w:position w:val="0"/>
          <w:sz w:val="20"/>
          <w:szCs w:val="20"/>
        </w:rPr>
      </w:pPr>
    </w:p>
    <w:p w14:paraId="2FBB6058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EKLENECEK GELİR TABLOSU HESAPLARI</w:t>
      </w:r>
    </w:p>
    <w:p w14:paraId="426BD461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5345"/>
      </w:tblGrid>
      <w:tr w:rsidR="005F54F7" w:rsidRPr="005F54F7" w14:paraId="2B4DEAA7" w14:textId="77777777" w:rsidTr="00B73379">
        <w:trPr>
          <w:trHeight w:val="227"/>
        </w:trPr>
        <w:tc>
          <w:tcPr>
            <w:tcW w:w="1495" w:type="dxa"/>
          </w:tcPr>
          <w:p w14:paraId="3DBF60DC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5.95.1..</w:t>
            </w:r>
          </w:p>
        </w:tc>
        <w:tc>
          <w:tcPr>
            <w:tcW w:w="5345" w:type="dxa"/>
          </w:tcPr>
          <w:p w14:paraId="71F3A6AB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BİREYSEL EMEKLİLİK KAR/ZARAR HESABI</w:t>
            </w:r>
          </w:p>
        </w:tc>
      </w:tr>
      <w:tr w:rsidR="005F54F7" w:rsidRPr="005F54F7" w14:paraId="1E3E3512" w14:textId="77777777" w:rsidTr="00B73379">
        <w:trPr>
          <w:trHeight w:val="227"/>
        </w:trPr>
        <w:tc>
          <w:tcPr>
            <w:tcW w:w="1495" w:type="dxa"/>
          </w:tcPr>
          <w:p w14:paraId="672FDE4F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5.95.1.01.08</w:t>
            </w:r>
          </w:p>
        </w:tc>
        <w:tc>
          <w:tcPr>
            <w:tcW w:w="5345" w:type="dxa"/>
          </w:tcPr>
          <w:p w14:paraId="32706E24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Konusu Kalmayan Bonus ve İndirim  Karşılıkları</w:t>
            </w:r>
          </w:p>
        </w:tc>
      </w:tr>
      <w:tr w:rsidR="005F54F7" w:rsidRPr="005F54F7" w14:paraId="2F057C99" w14:textId="77777777" w:rsidTr="00B73379">
        <w:trPr>
          <w:trHeight w:val="227"/>
        </w:trPr>
        <w:tc>
          <w:tcPr>
            <w:tcW w:w="1495" w:type="dxa"/>
          </w:tcPr>
          <w:p w14:paraId="5386ACC9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5.95.1.02.04</w:t>
            </w:r>
          </w:p>
        </w:tc>
        <w:tc>
          <w:tcPr>
            <w:tcW w:w="5345" w:type="dxa"/>
          </w:tcPr>
          <w:p w14:paraId="709F6C2A" w14:textId="77777777" w:rsidR="005F54F7" w:rsidRPr="005F54F7" w:rsidRDefault="005F54F7" w:rsidP="005F54F7">
            <w:pPr>
              <w:widowControl w:val="0"/>
              <w:spacing w:line="276" w:lineRule="auto"/>
              <w:ind w:left="170" w:right="170"/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</w:pPr>
            <w:r w:rsidRPr="005F54F7">
              <w:rPr>
                <w:rFonts w:ascii="Arial" w:eastAsiaTheme="minorHAnsi" w:hAnsi="Arial" w:cs="Arial"/>
                <w:b/>
                <w:noProof w:val="0"/>
                <w:color w:val="000000"/>
                <w:position w:val="0"/>
                <w:sz w:val="20"/>
                <w:szCs w:val="20"/>
              </w:rPr>
              <w:t>Bonus ve İndirimler Karşılığı</w:t>
            </w:r>
          </w:p>
        </w:tc>
      </w:tr>
    </w:tbl>
    <w:p w14:paraId="0089BE72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3F5BCC1E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AÇIKLAMALAR:</w:t>
      </w:r>
    </w:p>
    <w:p w14:paraId="3FB27749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5.95.1.01.08 Konusu Kalmayan Bonus ve İndirim Karşılıkları</w:t>
      </w:r>
    </w:p>
    <w:p w14:paraId="3C970F66" w14:textId="7AAC9517" w:rsid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planları çerçevesinde ayrılan bonus ve indirim karşılıklarından iptal edilen tutarların izlendiği  hesaptır.</w:t>
      </w:r>
    </w:p>
    <w:p w14:paraId="49E08BB1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</w:p>
    <w:p w14:paraId="0A369AC5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5F54F7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5.95.1.02.04 Bonus ve İndirimler Karşılığı</w:t>
      </w:r>
    </w:p>
    <w:p w14:paraId="6BDC1B74" w14:textId="77777777" w:rsidR="005F54F7" w:rsidRPr="005F54F7" w:rsidRDefault="005F54F7" w:rsidP="005F54F7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sectPr w:rsidR="005F54F7" w:rsidRPr="005F54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F54F7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planları çerçevesinde ayrılan bonus ve indirimler nedeniyle kullanılacak gider hesabıdır.</w:t>
      </w:r>
    </w:p>
    <w:bookmarkEnd w:id="7"/>
    <w:p w14:paraId="33EE05F6" w14:textId="77777777" w:rsidR="00626E7B" w:rsidRDefault="00626E7B"/>
    <w:sectPr w:rsidR="0062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9E3E" w14:textId="77777777" w:rsidR="005F54F7" w:rsidRDefault="005F54F7" w:rsidP="005F54F7">
      <w:r>
        <w:separator/>
      </w:r>
    </w:p>
  </w:endnote>
  <w:endnote w:type="continuationSeparator" w:id="0">
    <w:p w14:paraId="6CBFAD4B" w14:textId="77777777" w:rsidR="005F54F7" w:rsidRDefault="005F54F7" w:rsidP="005F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8FF3" w14:textId="0BCB2C73" w:rsidR="005F54F7" w:rsidRPr="00464155" w:rsidRDefault="00464155" w:rsidP="00464155">
    <w:pPr>
      <w:pStyle w:val="AltBilgi"/>
      <w:jc w:val="left"/>
    </w:pPr>
    <w:fldSimple w:instr=" DOCPROPERTY bjFooterEven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F77D" w14:textId="314A54A9" w:rsidR="005F54F7" w:rsidRPr="00464155" w:rsidRDefault="00464155" w:rsidP="00464155">
    <w:pPr>
      <w:pStyle w:val="AltBilgi"/>
      <w:jc w:val="left"/>
    </w:pPr>
    <w:fldSimple w:instr=" DOCPROPERTY bjFooterBoth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9B2" w14:textId="5F0E1E7B" w:rsidR="005F54F7" w:rsidRPr="00464155" w:rsidRDefault="00464155" w:rsidP="00464155">
    <w:pPr>
      <w:pStyle w:val="AltBilgi"/>
      <w:jc w:val="left"/>
    </w:pPr>
    <w:fldSimple w:instr=" DOCPROPERTY bjFooterFirst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646B" w14:textId="77777777" w:rsidR="005F54F7" w:rsidRDefault="005F54F7" w:rsidP="005F54F7">
      <w:r>
        <w:separator/>
      </w:r>
    </w:p>
  </w:footnote>
  <w:footnote w:type="continuationSeparator" w:id="0">
    <w:p w14:paraId="670F978A" w14:textId="77777777" w:rsidR="005F54F7" w:rsidRDefault="005F54F7" w:rsidP="005F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3191" w14:textId="77777777" w:rsidR="005F54F7" w:rsidRDefault="005F54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4075" w14:textId="77777777" w:rsidR="005F54F7" w:rsidRDefault="005F54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D82A" w14:textId="77777777" w:rsidR="005F54F7" w:rsidRDefault="005F54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E"/>
    <w:rsid w:val="00464155"/>
    <w:rsid w:val="005F54F7"/>
    <w:rsid w:val="00626E7B"/>
    <w:rsid w:val="006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06C3D"/>
  <w15:chartTrackingRefBased/>
  <w15:docId w15:val="{B22CC754-5527-484E-8C80-318E0A16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4F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5F54F7"/>
    <w:pPr>
      <w:keepNext/>
      <w:widowControl w:val="0"/>
      <w:spacing w:line="276" w:lineRule="auto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F54F7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54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4F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F54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4F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BCE5FFD2-8C34-4FB3-B075-74B3FC76F3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2521</Characters>
  <Application>Microsoft Office Word</Application>
  <DocSecurity>0</DocSecurity>
  <Lines>21</Lines>
  <Paragraphs>5</Paragraphs>
  <ScaleCrop>false</ScaleCrop>
  <Company>Emeklilik Gozetim Merkezi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dcterms:created xsi:type="dcterms:W3CDTF">2023-03-02T12:16:00Z</dcterms:created>
  <dcterms:modified xsi:type="dcterms:W3CDTF">2023-03-02T12:31:00Z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781a1678-7779-42b4-a914-05629b59f014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