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8" w:rsidRPr="005F4E81" w:rsidRDefault="003A70D2" w:rsidP="003A70D2">
      <w:pPr>
        <w:spacing w:after="0" w:line="240" w:lineRule="auto"/>
        <w:rPr>
          <w:rFonts w:ascii="Times New Roman" w:eastAsia="Times New Roman" w:hAnsi="Times New Roman"/>
          <w:b/>
          <w:noProof/>
          <w:sz w:val="24"/>
          <w:szCs w:val="24"/>
          <w:lang w:eastAsia="tr-TR"/>
        </w:rPr>
      </w:pPr>
      <w:r w:rsidRPr="003A70D2">
        <w:rPr>
          <w:rFonts w:ascii="Times New Roman" w:hAnsi="Times New Roman"/>
          <w:b/>
          <w:sz w:val="24"/>
          <w:szCs w:val="24"/>
          <w:u w:val="single"/>
        </w:rPr>
        <w:t>Başbakanlık (Hazine Müsteşarlığı)’tan:</w:t>
      </w:r>
      <w:r w:rsidR="00882EF8" w:rsidRPr="005F4E81">
        <w:rPr>
          <w:rFonts w:ascii="Times New Roman" w:eastAsia="Times New Roman" w:hAnsi="Times New Roman"/>
          <w:b/>
          <w:noProof/>
          <w:sz w:val="24"/>
          <w:szCs w:val="24"/>
          <w:lang w:eastAsia="tr-TR"/>
        </w:rPr>
        <w:tab/>
        <w:t xml:space="preserve"> </w:t>
      </w:r>
      <w:r w:rsidR="00882EF8" w:rsidRPr="005F4E81">
        <w:rPr>
          <w:rFonts w:ascii="Times New Roman" w:eastAsia="Times New Roman" w:hAnsi="Times New Roman"/>
          <w:b/>
          <w:noProof/>
          <w:sz w:val="24"/>
          <w:szCs w:val="24"/>
          <w:lang w:eastAsia="tr-TR"/>
        </w:rPr>
        <w:tab/>
      </w:r>
      <w:r>
        <w:rPr>
          <w:rFonts w:ascii="Times New Roman" w:eastAsia="Times New Roman" w:hAnsi="Times New Roman"/>
          <w:b/>
          <w:noProof/>
          <w:sz w:val="24"/>
          <w:szCs w:val="24"/>
          <w:lang w:eastAsia="tr-TR"/>
        </w:rPr>
        <w:t xml:space="preserve"> </w:t>
      </w:r>
      <w:r w:rsidR="00882EF8" w:rsidRPr="005F4E81">
        <w:rPr>
          <w:rFonts w:ascii="Times New Roman" w:eastAsia="Times New Roman" w:hAnsi="Times New Roman"/>
          <w:b/>
          <w:noProof/>
          <w:sz w:val="24"/>
          <w:szCs w:val="24"/>
          <w:lang w:eastAsia="tr-TR"/>
        </w:rPr>
        <w:tab/>
        <w:t xml:space="preserve">  </w:t>
      </w:r>
      <w:r>
        <w:rPr>
          <w:rFonts w:ascii="Times New Roman" w:eastAsia="Times New Roman" w:hAnsi="Times New Roman"/>
          <w:b/>
          <w:noProof/>
          <w:sz w:val="24"/>
          <w:szCs w:val="24"/>
          <w:lang w:eastAsia="tr-TR"/>
        </w:rPr>
        <w:t xml:space="preserve">    </w:t>
      </w:r>
      <w:r w:rsidR="00FA312F" w:rsidRPr="005F4E81">
        <w:rPr>
          <w:rFonts w:ascii="Times New Roman" w:eastAsia="Times New Roman" w:hAnsi="Times New Roman"/>
          <w:b/>
          <w:noProof/>
          <w:sz w:val="24"/>
          <w:szCs w:val="24"/>
          <w:lang w:eastAsia="tr-TR"/>
        </w:rPr>
        <w:tab/>
      </w:r>
      <w:r w:rsidR="00CF01B4">
        <w:rPr>
          <w:rFonts w:ascii="Times New Roman" w:eastAsia="Times New Roman" w:hAnsi="Times New Roman"/>
          <w:b/>
          <w:noProof/>
          <w:sz w:val="24"/>
          <w:szCs w:val="24"/>
          <w:lang w:eastAsia="tr-TR"/>
        </w:rPr>
        <w:t xml:space="preserve">                          28/08</w:t>
      </w:r>
      <w:r>
        <w:rPr>
          <w:rFonts w:ascii="Times New Roman" w:eastAsia="Times New Roman" w:hAnsi="Times New Roman"/>
          <w:b/>
          <w:noProof/>
          <w:sz w:val="24"/>
          <w:szCs w:val="24"/>
          <w:lang w:eastAsia="tr-TR"/>
        </w:rPr>
        <w:t>/</w:t>
      </w:r>
      <w:r w:rsidR="00882EF8" w:rsidRPr="005F4E81">
        <w:rPr>
          <w:rFonts w:ascii="Times New Roman" w:eastAsia="Times New Roman" w:hAnsi="Times New Roman"/>
          <w:b/>
          <w:noProof/>
          <w:sz w:val="24"/>
          <w:szCs w:val="24"/>
          <w:lang w:eastAsia="tr-TR"/>
        </w:rPr>
        <w:t>201</w:t>
      </w:r>
      <w:r>
        <w:rPr>
          <w:rFonts w:ascii="Times New Roman" w:eastAsia="Times New Roman" w:hAnsi="Times New Roman"/>
          <w:b/>
          <w:noProof/>
          <w:sz w:val="24"/>
          <w:szCs w:val="24"/>
          <w:lang w:eastAsia="tr-TR"/>
        </w:rPr>
        <w:t>5</w:t>
      </w:r>
    </w:p>
    <w:p w:rsidR="00882EF8" w:rsidRDefault="00A57274" w:rsidP="009B451C">
      <w:pPr>
        <w:tabs>
          <w:tab w:val="left" w:pos="1410"/>
        </w:tabs>
        <w:spacing w:after="0" w:line="240" w:lineRule="auto"/>
        <w:ind w:firstLine="567"/>
        <w:rPr>
          <w:rFonts w:ascii="Times New Roman" w:eastAsia="Times New Roman" w:hAnsi="Times New Roman"/>
          <w:noProof/>
          <w:sz w:val="24"/>
          <w:szCs w:val="24"/>
          <w:lang w:eastAsia="tr-TR"/>
        </w:rPr>
      </w:pPr>
      <w:r w:rsidRPr="005F4E81">
        <w:rPr>
          <w:rFonts w:ascii="Times New Roman" w:eastAsia="Times New Roman" w:hAnsi="Times New Roman"/>
          <w:noProof/>
          <w:sz w:val="24"/>
          <w:szCs w:val="24"/>
          <w:lang w:eastAsia="tr-TR"/>
        </w:rPr>
        <w:tab/>
      </w:r>
    </w:p>
    <w:p w:rsidR="00A853AE" w:rsidRDefault="00A853AE" w:rsidP="009B451C">
      <w:pPr>
        <w:tabs>
          <w:tab w:val="left" w:pos="1410"/>
        </w:tabs>
        <w:spacing w:after="0" w:line="240" w:lineRule="auto"/>
        <w:ind w:firstLine="567"/>
        <w:rPr>
          <w:rFonts w:ascii="Times New Roman" w:eastAsia="Times New Roman" w:hAnsi="Times New Roman"/>
          <w:noProof/>
          <w:sz w:val="24"/>
          <w:szCs w:val="24"/>
          <w:lang w:eastAsia="tr-TR"/>
        </w:rPr>
      </w:pPr>
    </w:p>
    <w:p w:rsidR="00882EF8" w:rsidRPr="005F4E81" w:rsidRDefault="00954C6B" w:rsidP="009B451C">
      <w:pPr>
        <w:spacing w:after="0" w:line="240" w:lineRule="auto"/>
        <w:ind w:firstLine="567"/>
        <w:jc w:val="center"/>
        <w:rPr>
          <w:rFonts w:ascii="Times New Roman" w:eastAsia="Times New Roman" w:hAnsi="Times New Roman"/>
          <w:b/>
          <w:noProof/>
          <w:sz w:val="24"/>
          <w:szCs w:val="24"/>
          <w:lang w:eastAsia="tr-TR"/>
        </w:rPr>
      </w:pPr>
      <w:r w:rsidRPr="00065E5B">
        <w:rPr>
          <w:rFonts w:ascii="Times New Roman" w:hAnsi="Times New Roman"/>
          <w:b/>
          <w:sz w:val="24"/>
          <w:szCs w:val="24"/>
        </w:rPr>
        <w:t>BİREYSEL EMEKLİLİK SİSTEMİ HAKKINDA YÖNETMELİKTE DEĞİŞİ</w:t>
      </w:r>
      <w:r>
        <w:rPr>
          <w:rFonts w:ascii="Times New Roman" w:hAnsi="Times New Roman"/>
          <w:b/>
          <w:sz w:val="24"/>
          <w:szCs w:val="24"/>
        </w:rPr>
        <w:t>KLİK YAPILMASINA DAİR YÖNETMELİĞİN</w:t>
      </w:r>
      <w:r w:rsidR="008E271F" w:rsidRPr="005F4E81">
        <w:rPr>
          <w:rFonts w:ascii="Times New Roman" w:eastAsia="Times New Roman" w:hAnsi="Times New Roman"/>
          <w:b/>
          <w:noProof/>
          <w:sz w:val="24"/>
          <w:szCs w:val="24"/>
          <w:lang w:eastAsia="tr-TR"/>
        </w:rPr>
        <w:t xml:space="preserve"> UYGULANMASINA</w:t>
      </w:r>
      <w:r w:rsidR="00081139">
        <w:rPr>
          <w:rFonts w:ascii="Times New Roman" w:eastAsia="Times New Roman" w:hAnsi="Times New Roman"/>
          <w:b/>
          <w:noProof/>
          <w:sz w:val="24"/>
          <w:szCs w:val="24"/>
          <w:lang w:eastAsia="tr-TR"/>
        </w:rPr>
        <w:t xml:space="preserve"> İLİŞKİN GENELGE</w:t>
      </w:r>
      <w:r w:rsidR="00A57274" w:rsidRPr="005F4E81">
        <w:rPr>
          <w:rFonts w:ascii="Times New Roman" w:eastAsia="Times New Roman" w:hAnsi="Times New Roman"/>
          <w:b/>
          <w:noProof/>
          <w:sz w:val="24"/>
          <w:szCs w:val="24"/>
          <w:lang w:eastAsia="tr-TR"/>
        </w:rPr>
        <w:t xml:space="preserve"> </w:t>
      </w:r>
      <w:r>
        <w:rPr>
          <w:rFonts w:ascii="Times New Roman" w:eastAsia="Times New Roman" w:hAnsi="Times New Roman"/>
          <w:b/>
          <w:noProof/>
          <w:sz w:val="24"/>
          <w:szCs w:val="24"/>
          <w:lang w:eastAsia="tr-TR"/>
        </w:rPr>
        <w:t>(2015/</w:t>
      </w:r>
      <w:r w:rsidR="0024121F">
        <w:rPr>
          <w:rFonts w:ascii="Times New Roman" w:eastAsia="Times New Roman" w:hAnsi="Times New Roman"/>
          <w:b/>
          <w:noProof/>
          <w:sz w:val="24"/>
          <w:szCs w:val="24"/>
          <w:lang w:eastAsia="tr-TR"/>
        </w:rPr>
        <w:t>33</w:t>
      </w:r>
      <w:r w:rsidR="00882EF8" w:rsidRPr="005F4E81">
        <w:rPr>
          <w:rFonts w:ascii="Times New Roman" w:eastAsia="Times New Roman" w:hAnsi="Times New Roman"/>
          <w:b/>
          <w:noProof/>
          <w:sz w:val="24"/>
          <w:szCs w:val="24"/>
          <w:lang w:eastAsia="tr-TR"/>
        </w:rPr>
        <w:t xml:space="preserve">) </w:t>
      </w:r>
    </w:p>
    <w:p w:rsidR="00882EF8" w:rsidRDefault="00882EF8" w:rsidP="009B451C">
      <w:pPr>
        <w:spacing w:after="0" w:line="240" w:lineRule="auto"/>
        <w:ind w:firstLine="567"/>
        <w:jc w:val="both"/>
        <w:rPr>
          <w:rFonts w:ascii="Times New Roman" w:eastAsia="Times New Roman" w:hAnsi="Times New Roman"/>
          <w:noProof/>
          <w:sz w:val="24"/>
          <w:szCs w:val="24"/>
          <w:lang w:eastAsia="tr-TR"/>
        </w:rPr>
      </w:pPr>
    </w:p>
    <w:p w:rsidR="0001452E" w:rsidRPr="009151CC" w:rsidRDefault="009151CC" w:rsidP="001773FD">
      <w:pPr>
        <w:spacing w:after="0" w:line="240" w:lineRule="auto"/>
        <w:ind w:firstLine="567"/>
        <w:jc w:val="both"/>
        <w:rPr>
          <w:rFonts w:ascii="Times New Roman" w:hAnsi="Times New Roman"/>
          <w:kern w:val="20"/>
          <w:sz w:val="24"/>
          <w:szCs w:val="24"/>
        </w:rPr>
      </w:pPr>
      <w:r w:rsidRPr="009151CC">
        <w:rPr>
          <w:rFonts w:ascii="Times New Roman" w:hAnsi="Times New Roman"/>
          <w:kern w:val="20"/>
          <w:sz w:val="24"/>
          <w:szCs w:val="24"/>
        </w:rPr>
        <w:t xml:space="preserve">Bu </w:t>
      </w:r>
      <w:r w:rsidR="00F5419A">
        <w:rPr>
          <w:rFonts w:ascii="Times New Roman" w:hAnsi="Times New Roman"/>
          <w:kern w:val="20"/>
          <w:sz w:val="24"/>
          <w:szCs w:val="24"/>
        </w:rPr>
        <w:t>Genelge</w:t>
      </w:r>
      <w:r w:rsidRPr="009151CC">
        <w:rPr>
          <w:rFonts w:ascii="Times New Roman" w:hAnsi="Times New Roman"/>
          <w:kern w:val="20"/>
          <w:sz w:val="24"/>
          <w:szCs w:val="24"/>
        </w:rPr>
        <w:t xml:space="preserve">, </w:t>
      </w:r>
      <w:r>
        <w:rPr>
          <w:rFonts w:ascii="Times New Roman" w:hAnsi="Times New Roman"/>
          <w:sz w:val="24"/>
          <w:szCs w:val="24"/>
          <w:lang w:eastAsia="tr-TR"/>
        </w:rPr>
        <w:t xml:space="preserve">25.05.2015 tarihli ve 29366 sayılı Resmi </w:t>
      </w:r>
      <w:proofErr w:type="spellStart"/>
      <w:r>
        <w:rPr>
          <w:rFonts w:ascii="Times New Roman" w:hAnsi="Times New Roman"/>
          <w:sz w:val="24"/>
          <w:szCs w:val="24"/>
          <w:lang w:eastAsia="tr-TR"/>
        </w:rPr>
        <w:t>Gazete</w:t>
      </w:r>
      <w:r w:rsidR="00E5481D">
        <w:rPr>
          <w:rFonts w:ascii="Times New Roman" w:hAnsi="Times New Roman"/>
          <w:sz w:val="24"/>
          <w:szCs w:val="24"/>
          <w:lang w:eastAsia="tr-TR"/>
        </w:rPr>
        <w:t>’</w:t>
      </w:r>
      <w:r>
        <w:rPr>
          <w:rFonts w:ascii="Times New Roman" w:hAnsi="Times New Roman"/>
          <w:sz w:val="24"/>
          <w:szCs w:val="24"/>
          <w:lang w:eastAsia="tr-TR"/>
        </w:rPr>
        <w:t>de</w:t>
      </w:r>
      <w:proofErr w:type="spellEnd"/>
      <w:r>
        <w:rPr>
          <w:rFonts w:ascii="Times New Roman" w:hAnsi="Times New Roman"/>
          <w:kern w:val="20"/>
          <w:sz w:val="24"/>
          <w:szCs w:val="24"/>
        </w:rPr>
        <w:t xml:space="preserve"> yayımlanan ve 01.01.2016</w:t>
      </w:r>
      <w:r w:rsidRPr="009151CC">
        <w:rPr>
          <w:rFonts w:ascii="Times New Roman" w:hAnsi="Times New Roman"/>
          <w:kern w:val="20"/>
          <w:sz w:val="24"/>
          <w:szCs w:val="24"/>
        </w:rPr>
        <w:t xml:space="preserve"> tarihinde yürürlüğe girecek olan </w:t>
      </w:r>
      <w:r>
        <w:rPr>
          <w:rFonts w:ascii="Times New Roman" w:hAnsi="Times New Roman"/>
          <w:sz w:val="24"/>
          <w:szCs w:val="24"/>
        </w:rPr>
        <w:t xml:space="preserve">Bireysel Emeklilik Sistemi Hakkında Yönetmelikte Değişiklik Yapılmasına Dair </w:t>
      </w:r>
      <w:r w:rsidRPr="009151CC">
        <w:rPr>
          <w:rFonts w:ascii="Times New Roman" w:hAnsi="Times New Roman"/>
          <w:kern w:val="20"/>
          <w:sz w:val="24"/>
          <w:szCs w:val="24"/>
        </w:rPr>
        <w:t>Yönetmelikte (“Yönetmelik”) yer alan bazı hususlar</w:t>
      </w:r>
      <w:r w:rsidR="00E03E02">
        <w:rPr>
          <w:rFonts w:ascii="Times New Roman" w:hAnsi="Times New Roman"/>
          <w:kern w:val="20"/>
          <w:sz w:val="24"/>
          <w:szCs w:val="24"/>
        </w:rPr>
        <w:t xml:space="preserve">a </w:t>
      </w:r>
      <w:r w:rsidR="00E03E02" w:rsidRPr="00EE4666">
        <w:rPr>
          <w:rFonts w:ascii="Times New Roman" w:hAnsi="Times New Roman"/>
          <w:sz w:val="24"/>
          <w:szCs w:val="24"/>
        </w:rPr>
        <w:t>ilişkin uygulama esas ve usullerini açıklamak üzere hazırlanmıştır.</w:t>
      </w:r>
    </w:p>
    <w:p w:rsidR="00FF23D8" w:rsidRDefault="00FF23D8" w:rsidP="00086AD8">
      <w:pPr>
        <w:spacing w:after="0" w:line="240" w:lineRule="auto"/>
        <w:jc w:val="both"/>
        <w:rPr>
          <w:rFonts w:ascii="Times New Roman" w:eastAsia="Times New Roman" w:hAnsi="Times New Roman"/>
          <w:sz w:val="24"/>
          <w:szCs w:val="24"/>
          <w:lang w:eastAsia="tr-TR"/>
        </w:rPr>
      </w:pPr>
    </w:p>
    <w:p w:rsidR="00086AD8" w:rsidRDefault="00086AD8" w:rsidP="00560718">
      <w:pPr>
        <w:pStyle w:val="ListeParagraf"/>
        <w:numPr>
          <w:ilvl w:val="0"/>
          <w:numId w:val="27"/>
        </w:numPr>
        <w:tabs>
          <w:tab w:val="left" w:pos="851"/>
          <w:tab w:val="left" w:pos="993"/>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Yönetmeliğe ilişkin genel açıklamalar</w:t>
      </w:r>
    </w:p>
    <w:p w:rsidR="00086AD8" w:rsidRDefault="00086AD8" w:rsidP="00086AD8">
      <w:pPr>
        <w:spacing w:after="0" w:line="240" w:lineRule="auto"/>
        <w:jc w:val="both"/>
        <w:rPr>
          <w:rFonts w:ascii="Times New Roman" w:eastAsia="Times New Roman" w:hAnsi="Times New Roman"/>
          <w:b/>
          <w:sz w:val="24"/>
          <w:szCs w:val="24"/>
          <w:lang w:eastAsia="tr-TR"/>
        </w:rPr>
      </w:pPr>
    </w:p>
    <w:p w:rsidR="00086AD8" w:rsidRDefault="00086AD8" w:rsidP="00E74993">
      <w:pPr>
        <w:numPr>
          <w:ilvl w:val="0"/>
          <w:numId w:val="32"/>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Yönetmelik</w:t>
      </w:r>
      <w:r w:rsidR="0042787C">
        <w:rPr>
          <w:rFonts w:ascii="Times New Roman" w:eastAsia="Times New Roman" w:hAnsi="Times New Roman"/>
          <w:sz w:val="24"/>
          <w:szCs w:val="24"/>
          <w:lang w:eastAsia="tr-TR"/>
        </w:rPr>
        <w:t xml:space="preserve"> hükümleri</w:t>
      </w:r>
      <w:r>
        <w:rPr>
          <w:rFonts w:ascii="Times New Roman" w:eastAsia="Times New Roman" w:hAnsi="Times New Roman"/>
          <w:sz w:val="24"/>
          <w:szCs w:val="24"/>
          <w:lang w:eastAsia="tr-TR"/>
        </w:rPr>
        <w:t>, 01.01.2016 tarihinden</w:t>
      </w:r>
      <w:r w:rsidR="0042787C">
        <w:rPr>
          <w:rFonts w:ascii="Times New Roman" w:eastAsia="Times New Roman" w:hAnsi="Times New Roman"/>
          <w:sz w:val="24"/>
          <w:szCs w:val="24"/>
          <w:lang w:eastAsia="tr-TR"/>
        </w:rPr>
        <w:t xml:space="preserve"> sonra yürürlüğe girecek sözleşmelerin yanı sıra, bu tarihten</w:t>
      </w:r>
      <w:r>
        <w:rPr>
          <w:rFonts w:ascii="Times New Roman" w:eastAsia="Times New Roman" w:hAnsi="Times New Roman"/>
          <w:sz w:val="24"/>
          <w:szCs w:val="24"/>
          <w:lang w:eastAsia="tr-TR"/>
        </w:rPr>
        <w:t xml:space="preserve"> önce yürürlüğe girmiş olan ve </w:t>
      </w:r>
      <w:r w:rsidRPr="00BC215E">
        <w:rPr>
          <w:rFonts w:ascii="Times New Roman" w:eastAsia="ヒラギノ明朝 Pro W3" w:hAnsi="Times New Roman"/>
          <w:sz w:val="24"/>
          <w:szCs w:val="24"/>
          <w:lang w:eastAsia="tr-TR"/>
        </w:rPr>
        <w:t>bu tarih itibarıyla halen yürürlükte bulunan</w:t>
      </w:r>
      <w:r>
        <w:rPr>
          <w:rFonts w:ascii="Times New Roman" w:eastAsia="Times New Roman" w:hAnsi="Times New Roman"/>
          <w:sz w:val="24"/>
          <w:szCs w:val="24"/>
          <w:lang w:eastAsia="tr-TR"/>
        </w:rPr>
        <w:t xml:space="preserve"> sözleşmeleri </w:t>
      </w:r>
      <w:r w:rsidR="0042787C">
        <w:rPr>
          <w:rFonts w:ascii="Times New Roman" w:eastAsia="Times New Roman" w:hAnsi="Times New Roman"/>
          <w:sz w:val="24"/>
          <w:szCs w:val="24"/>
          <w:lang w:eastAsia="tr-TR"/>
        </w:rPr>
        <w:t xml:space="preserve">de </w:t>
      </w:r>
      <w:r>
        <w:rPr>
          <w:rFonts w:ascii="Times New Roman" w:eastAsia="Times New Roman" w:hAnsi="Times New Roman"/>
          <w:sz w:val="24"/>
          <w:szCs w:val="24"/>
          <w:lang w:eastAsia="tr-TR"/>
        </w:rPr>
        <w:t>kapsamaktadır.</w:t>
      </w:r>
      <w:r w:rsidR="00B76D50">
        <w:rPr>
          <w:rFonts w:ascii="Times New Roman" w:eastAsia="Times New Roman" w:hAnsi="Times New Roman"/>
          <w:sz w:val="24"/>
          <w:szCs w:val="24"/>
          <w:lang w:eastAsia="tr-TR"/>
        </w:rPr>
        <w:t xml:space="preserve"> </w:t>
      </w:r>
      <w:r w:rsidR="00FD0CB7">
        <w:rPr>
          <w:rFonts w:ascii="Times New Roman" w:eastAsia="Times New Roman" w:hAnsi="Times New Roman"/>
          <w:sz w:val="24"/>
          <w:szCs w:val="24"/>
          <w:lang w:eastAsia="tr-TR"/>
        </w:rPr>
        <w:t>Bu çerçevede, 01.01.2016 tarihinde önce ayrılma talebi şirkete</w:t>
      </w:r>
      <w:r w:rsidR="00B76D50">
        <w:rPr>
          <w:rFonts w:ascii="Times New Roman" w:eastAsia="Times New Roman" w:hAnsi="Times New Roman"/>
          <w:sz w:val="24"/>
          <w:szCs w:val="24"/>
          <w:lang w:eastAsia="tr-TR"/>
        </w:rPr>
        <w:t xml:space="preserve"> ulaşmış</w:t>
      </w:r>
      <w:r w:rsidR="00FD0CB7">
        <w:rPr>
          <w:rFonts w:ascii="Times New Roman" w:eastAsia="Times New Roman" w:hAnsi="Times New Roman"/>
          <w:sz w:val="24"/>
          <w:szCs w:val="24"/>
          <w:lang w:eastAsia="tr-TR"/>
        </w:rPr>
        <w:t xml:space="preserve"> fakat 01.01.2016 tarihi itibarıyla henüz sonlanmamış olan</w:t>
      </w:r>
      <w:r w:rsidR="00B76D50">
        <w:rPr>
          <w:rFonts w:ascii="Times New Roman" w:eastAsia="Times New Roman" w:hAnsi="Times New Roman"/>
          <w:sz w:val="24"/>
          <w:szCs w:val="24"/>
          <w:lang w:eastAsia="tr-TR"/>
        </w:rPr>
        <w:t xml:space="preserve"> sözleşmeler</w:t>
      </w:r>
      <w:r w:rsidR="00FD0CB7">
        <w:rPr>
          <w:rFonts w:ascii="Times New Roman" w:eastAsia="Times New Roman" w:hAnsi="Times New Roman"/>
          <w:sz w:val="24"/>
          <w:szCs w:val="24"/>
          <w:lang w:eastAsia="tr-TR"/>
        </w:rPr>
        <w:t xml:space="preserve"> de</w:t>
      </w:r>
      <w:r w:rsidR="00B76D50">
        <w:rPr>
          <w:rFonts w:ascii="Times New Roman" w:eastAsia="Times New Roman" w:hAnsi="Times New Roman"/>
          <w:sz w:val="24"/>
          <w:szCs w:val="24"/>
          <w:lang w:eastAsia="tr-TR"/>
        </w:rPr>
        <w:t xml:space="preserve"> </w:t>
      </w:r>
      <w:r w:rsidR="00FD0CB7">
        <w:rPr>
          <w:rFonts w:ascii="Times New Roman" w:eastAsia="Times New Roman" w:hAnsi="Times New Roman"/>
          <w:sz w:val="24"/>
          <w:szCs w:val="24"/>
          <w:lang w:eastAsia="tr-TR"/>
        </w:rPr>
        <w:t>bu kapsamda değerlendiril</w:t>
      </w:r>
      <w:r w:rsidR="00F03696">
        <w:rPr>
          <w:rFonts w:ascii="Times New Roman" w:eastAsia="Times New Roman" w:hAnsi="Times New Roman"/>
          <w:sz w:val="24"/>
          <w:szCs w:val="24"/>
          <w:lang w:eastAsia="tr-TR"/>
        </w:rPr>
        <w:t>ecektir.</w:t>
      </w:r>
    </w:p>
    <w:p w:rsidR="00A853AE" w:rsidRDefault="00A853AE" w:rsidP="00A853AE">
      <w:pPr>
        <w:spacing w:after="0" w:line="240" w:lineRule="auto"/>
        <w:ind w:left="720"/>
        <w:jc w:val="both"/>
        <w:rPr>
          <w:rFonts w:ascii="Times New Roman" w:eastAsia="Times New Roman" w:hAnsi="Times New Roman"/>
          <w:sz w:val="24"/>
          <w:szCs w:val="24"/>
          <w:lang w:eastAsia="tr-TR"/>
        </w:rPr>
      </w:pPr>
    </w:p>
    <w:p w:rsidR="00680297" w:rsidRDefault="0018709B" w:rsidP="00625F7F">
      <w:pPr>
        <w:numPr>
          <w:ilvl w:val="0"/>
          <w:numId w:val="32"/>
        </w:numPr>
        <w:spacing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w:t>
      </w:r>
      <w:r w:rsidR="00F82AFE" w:rsidRPr="00F82AFE">
        <w:rPr>
          <w:rFonts w:ascii="Times New Roman" w:eastAsia="Times New Roman" w:hAnsi="Times New Roman"/>
          <w:sz w:val="24"/>
          <w:szCs w:val="24"/>
          <w:lang w:eastAsia="tr-TR"/>
        </w:rPr>
        <w:t>önetme</w:t>
      </w:r>
      <w:r>
        <w:rPr>
          <w:rFonts w:ascii="Times New Roman" w:eastAsia="Times New Roman" w:hAnsi="Times New Roman"/>
          <w:sz w:val="24"/>
          <w:szCs w:val="24"/>
          <w:lang w:eastAsia="tr-TR"/>
        </w:rPr>
        <w:t>lik i</w:t>
      </w:r>
      <w:r w:rsidR="00F82AFE" w:rsidRPr="00F82AFE">
        <w:rPr>
          <w:rFonts w:ascii="Times New Roman" w:eastAsia="Times New Roman" w:hAnsi="Times New Roman"/>
          <w:sz w:val="24"/>
          <w:szCs w:val="24"/>
          <w:lang w:eastAsia="tr-TR"/>
        </w:rPr>
        <w:t xml:space="preserve">le </w:t>
      </w:r>
      <w:r>
        <w:rPr>
          <w:rFonts w:ascii="Times New Roman" w:eastAsia="Times New Roman" w:hAnsi="Times New Roman"/>
          <w:sz w:val="24"/>
          <w:szCs w:val="24"/>
          <w:lang w:eastAsia="tr-TR"/>
        </w:rPr>
        <w:t xml:space="preserve">sistemde yer alan </w:t>
      </w:r>
      <w:r w:rsidR="00F82AFE" w:rsidRPr="00F82AFE">
        <w:rPr>
          <w:rFonts w:ascii="Times New Roman" w:eastAsia="Times New Roman" w:hAnsi="Times New Roman"/>
          <w:sz w:val="24"/>
          <w:szCs w:val="24"/>
          <w:lang w:eastAsia="tr-TR"/>
        </w:rPr>
        <w:t>kesinti yapısı revi</w:t>
      </w:r>
      <w:r>
        <w:rPr>
          <w:rFonts w:ascii="Times New Roman" w:eastAsia="Times New Roman" w:hAnsi="Times New Roman"/>
          <w:sz w:val="24"/>
          <w:szCs w:val="24"/>
          <w:lang w:eastAsia="tr-TR"/>
        </w:rPr>
        <w:t xml:space="preserve">ze edilmekte olup, </w:t>
      </w:r>
      <w:r w:rsidR="00F82AFE" w:rsidRPr="00F82AFE">
        <w:rPr>
          <w:rFonts w:ascii="Times New Roman" w:eastAsia="Times New Roman" w:hAnsi="Times New Roman"/>
          <w:sz w:val="24"/>
          <w:szCs w:val="24"/>
          <w:lang w:eastAsia="tr-TR"/>
        </w:rPr>
        <w:t>özel hukuk ka</w:t>
      </w:r>
      <w:r>
        <w:rPr>
          <w:rFonts w:ascii="Times New Roman" w:eastAsia="Times New Roman" w:hAnsi="Times New Roman"/>
          <w:sz w:val="24"/>
          <w:szCs w:val="24"/>
          <w:lang w:eastAsia="tr-TR"/>
        </w:rPr>
        <w:t>psamında katılımcılara sağlanan</w:t>
      </w:r>
      <w:r w:rsidR="00F82AFE" w:rsidRPr="00F82AFE">
        <w:rPr>
          <w:rFonts w:ascii="Times New Roman" w:eastAsia="Times New Roman" w:hAnsi="Times New Roman"/>
          <w:sz w:val="24"/>
          <w:szCs w:val="24"/>
          <w:lang w:eastAsia="tr-TR"/>
        </w:rPr>
        <w:t xml:space="preserve"> ek menfaatler (ek fayda</w:t>
      </w:r>
      <w:r>
        <w:rPr>
          <w:rFonts w:ascii="Times New Roman" w:eastAsia="Times New Roman" w:hAnsi="Times New Roman"/>
          <w:sz w:val="24"/>
          <w:szCs w:val="24"/>
          <w:lang w:eastAsia="tr-TR"/>
        </w:rPr>
        <w:t xml:space="preserve"> gibi</w:t>
      </w:r>
      <w:r w:rsidR="00F82AFE" w:rsidRPr="00F82AFE">
        <w:rPr>
          <w:rFonts w:ascii="Times New Roman" w:eastAsia="Times New Roman" w:hAnsi="Times New Roman"/>
          <w:sz w:val="24"/>
          <w:szCs w:val="24"/>
          <w:lang w:eastAsia="tr-TR"/>
        </w:rPr>
        <w:t>)</w:t>
      </w:r>
      <w:r w:rsidR="00050AD6">
        <w:rPr>
          <w:rFonts w:ascii="Times New Roman" w:eastAsia="Times New Roman" w:hAnsi="Times New Roman"/>
          <w:sz w:val="24"/>
          <w:szCs w:val="24"/>
          <w:lang w:eastAsia="tr-TR"/>
        </w:rPr>
        <w:t>,</w:t>
      </w:r>
      <w:r w:rsidR="00F82AFE" w:rsidRPr="00F82AF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Yönetmelik ile </w:t>
      </w:r>
      <w:r w:rsidR="00050AD6">
        <w:rPr>
          <w:rFonts w:ascii="Times New Roman" w:eastAsia="Times New Roman" w:hAnsi="Times New Roman"/>
          <w:sz w:val="24"/>
          <w:szCs w:val="24"/>
          <w:lang w:eastAsia="tr-TR"/>
        </w:rPr>
        <w:t>bu Genelge kapsamında değildir.</w:t>
      </w:r>
      <w:bookmarkStart w:id="0" w:name="_GoBack"/>
      <w:bookmarkEnd w:id="0"/>
    </w:p>
    <w:p w:rsidR="00680F36" w:rsidRDefault="00680F36" w:rsidP="00680297">
      <w:pPr>
        <w:numPr>
          <w:ilvl w:val="0"/>
          <w:numId w:val="32"/>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Yönetmelik çerçevesinde şirketler, sözleşmedeki devlet katkısı tutarı ile ilişkilendirilen kesinti üst sınır kontrolünü yapmaya 01.01.2021 tarihinden itibaren başlayacaklardır.</w:t>
      </w:r>
    </w:p>
    <w:p w:rsidR="00680F36" w:rsidRDefault="00680F36" w:rsidP="003F47F9">
      <w:pPr>
        <w:spacing w:after="0" w:line="240" w:lineRule="auto"/>
        <w:jc w:val="both"/>
        <w:rPr>
          <w:rFonts w:ascii="Times New Roman" w:eastAsia="Times New Roman" w:hAnsi="Times New Roman"/>
          <w:sz w:val="24"/>
          <w:szCs w:val="24"/>
          <w:lang w:eastAsia="tr-TR"/>
        </w:rPr>
      </w:pPr>
    </w:p>
    <w:p w:rsidR="00086AD8" w:rsidRDefault="00086AD8" w:rsidP="00086AD8">
      <w:pPr>
        <w:spacing w:after="0" w:line="240" w:lineRule="auto"/>
        <w:jc w:val="both"/>
        <w:rPr>
          <w:rFonts w:ascii="Times New Roman" w:eastAsia="Times New Roman" w:hAnsi="Times New Roman"/>
          <w:sz w:val="24"/>
          <w:szCs w:val="24"/>
          <w:lang w:eastAsia="tr-TR"/>
        </w:rPr>
      </w:pPr>
    </w:p>
    <w:p w:rsidR="004B6E49" w:rsidRPr="004B6E49" w:rsidRDefault="004C0D1D" w:rsidP="00560718">
      <w:pPr>
        <w:pStyle w:val="ListeParagraf"/>
        <w:numPr>
          <w:ilvl w:val="0"/>
          <w:numId w:val="25"/>
        </w:numPr>
        <w:tabs>
          <w:tab w:val="left" w:pos="851"/>
          <w:tab w:val="left" w:pos="993"/>
        </w:tabs>
        <w:spacing w:after="0" w:line="240" w:lineRule="auto"/>
        <w:jc w:val="both"/>
        <w:rPr>
          <w:rFonts w:ascii="Times New Roman" w:eastAsia="Times New Roman" w:hAnsi="Times New Roman"/>
          <w:b/>
          <w:sz w:val="24"/>
          <w:szCs w:val="24"/>
          <w:lang w:eastAsia="tr-TR"/>
        </w:rPr>
      </w:pPr>
      <w:r w:rsidRPr="004B6E49">
        <w:rPr>
          <w:rFonts w:ascii="Times New Roman" w:eastAsia="Times New Roman" w:hAnsi="Times New Roman"/>
          <w:b/>
          <w:sz w:val="24"/>
          <w:szCs w:val="24"/>
          <w:lang w:eastAsia="tr-TR"/>
        </w:rPr>
        <w:t>Dü</w:t>
      </w:r>
      <w:r>
        <w:rPr>
          <w:rFonts w:ascii="Times New Roman" w:eastAsia="Times New Roman" w:hAnsi="Times New Roman"/>
          <w:b/>
          <w:sz w:val="24"/>
          <w:szCs w:val="24"/>
          <w:lang w:eastAsia="tr-TR"/>
        </w:rPr>
        <w:t>zensiz ödemeye ilişkin açıklamalar</w:t>
      </w:r>
    </w:p>
    <w:p w:rsidR="004B6E49" w:rsidRDefault="004B6E49" w:rsidP="001773FD">
      <w:pPr>
        <w:spacing w:after="0" w:line="240" w:lineRule="auto"/>
        <w:ind w:firstLine="567"/>
        <w:jc w:val="both"/>
        <w:rPr>
          <w:rFonts w:ascii="Times New Roman" w:eastAsia="Times New Roman" w:hAnsi="Times New Roman"/>
          <w:sz w:val="24"/>
          <w:szCs w:val="24"/>
          <w:lang w:eastAsia="tr-TR"/>
        </w:rPr>
      </w:pPr>
    </w:p>
    <w:p w:rsidR="00D8466C" w:rsidRDefault="001C6DFC" w:rsidP="001C6DFC">
      <w:pPr>
        <w:pStyle w:val="ListeParagraf"/>
        <w:numPr>
          <w:ilvl w:val="0"/>
          <w:numId w:val="24"/>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CE3D82">
        <w:rPr>
          <w:rFonts w:ascii="Times New Roman" w:eastAsia="Times New Roman" w:hAnsi="Times New Roman"/>
          <w:sz w:val="24"/>
          <w:szCs w:val="24"/>
          <w:lang w:eastAsia="tr-TR"/>
        </w:rPr>
        <w:t xml:space="preserve">Vadesi </w:t>
      </w:r>
      <w:r w:rsidR="00691E9E">
        <w:rPr>
          <w:rFonts w:ascii="Times New Roman" w:eastAsia="Times New Roman" w:hAnsi="Times New Roman"/>
          <w:sz w:val="24"/>
          <w:szCs w:val="24"/>
          <w:lang w:eastAsia="tr-TR"/>
        </w:rPr>
        <w:t xml:space="preserve">01.01.2016 </w:t>
      </w:r>
      <w:r w:rsidR="00CE3D82">
        <w:rPr>
          <w:rFonts w:ascii="Times New Roman" w:eastAsia="Times New Roman" w:hAnsi="Times New Roman"/>
          <w:sz w:val="24"/>
          <w:szCs w:val="24"/>
          <w:lang w:eastAsia="tr-TR"/>
        </w:rPr>
        <w:t>ve sonrası olan</w:t>
      </w:r>
      <w:r w:rsidR="00C96A87">
        <w:rPr>
          <w:rFonts w:ascii="Times New Roman" w:eastAsia="Times New Roman" w:hAnsi="Times New Roman"/>
          <w:sz w:val="24"/>
          <w:szCs w:val="24"/>
          <w:lang w:eastAsia="tr-TR"/>
        </w:rPr>
        <w:t xml:space="preserve"> katkı payı ödemelerine ilişkin olarak</w:t>
      </w:r>
      <w:r w:rsidR="00691E9E">
        <w:rPr>
          <w:rFonts w:ascii="Times New Roman" w:eastAsia="Times New Roman" w:hAnsi="Times New Roman"/>
          <w:sz w:val="24"/>
          <w:szCs w:val="24"/>
          <w:lang w:eastAsia="tr-TR"/>
        </w:rPr>
        <w:t xml:space="preserve"> v</w:t>
      </w:r>
      <w:r w:rsidRPr="001C6DFC">
        <w:rPr>
          <w:rFonts w:ascii="Times New Roman" w:eastAsia="Times New Roman" w:hAnsi="Times New Roman"/>
          <w:sz w:val="24"/>
          <w:szCs w:val="24"/>
          <w:lang w:eastAsia="tr-TR"/>
        </w:rPr>
        <w:t xml:space="preserve">adesinde ödenmeyen katkı payının ödeme tarihini müteakip üç ay içinde, ilgili hesaba </w:t>
      </w:r>
      <w:r w:rsidR="00E076E8">
        <w:rPr>
          <w:rFonts w:ascii="Times New Roman" w:eastAsia="Times New Roman" w:hAnsi="Times New Roman"/>
          <w:sz w:val="24"/>
          <w:szCs w:val="24"/>
          <w:lang w:eastAsia="tr-TR"/>
        </w:rPr>
        <w:t xml:space="preserve">emeklilik </w:t>
      </w:r>
      <w:r w:rsidR="00284BB3">
        <w:rPr>
          <w:rFonts w:ascii="Times New Roman" w:eastAsia="Times New Roman" w:hAnsi="Times New Roman"/>
          <w:sz w:val="24"/>
          <w:szCs w:val="24"/>
          <w:lang w:eastAsia="tr-TR"/>
        </w:rPr>
        <w:t>sözleşme</w:t>
      </w:r>
      <w:r w:rsidR="00E076E8">
        <w:rPr>
          <w:rFonts w:ascii="Times New Roman" w:eastAsia="Times New Roman" w:hAnsi="Times New Roman"/>
          <w:sz w:val="24"/>
          <w:szCs w:val="24"/>
          <w:lang w:eastAsia="tr-TR"/>
        </w:rPr>
        <w:t>sin</w:t>
      </w:r>
      <w:r w:rsidR="00284BB3">
        <w:rPr>
          <w:rFonts w:ascii="Times New Roman" w:eastAsia="Times New Roman" w:hAnsi="Times New Roman"/>
          <w:sz w:val="24"/>
          <w:szCs w:val="24"/>
          <w:lang w:eastAsia="tr-TR"/>
        </w:rPr>
        <w:t>de belir</w:t>
      </w:r>
      <w:r w:rsidR="005A22E4">
        <w:rPr>
          <w:rFonts w:ascii="Times New Roman" w:eastAsia="Times New Roman" w:hAnsi="Times New Roman"/>
          <w:sz w:val="24"/>
          <w:szCs w:val="24"/>
          <w:lang w:eastAsia="tr-TR"/>
        </w:rPr>
        <w:t xml:space="preserve">lenen vadeye ait katkı payı ödemesinin </w:t>
      </w:r>
      <w:r w:rsidRPr="001C6DFC">
        <w:rPr>
          <w:rFonts w:ascii="Times New Roman" w:eastAsia="Times New Roman" w:hAnsi="Times New Roman"/>
          <w:sz w:val="24"/>
          <w:szCs w:val="24"/>
          <w:lang w:eastAsia="tr-TR"/>
        </w:rPr>
        <w:t>yapılmaması durumunda</w:t>
      </w:r>
      <w:r w:rsidR="007F4563">
        <w:rPr>
          <w:rFonts w:ascii="Times New Roman" w:eastAsia="Times New Roman" w:hAnsi="Times New Roman"/>
          <w:sz w:val="24"/>
          <w:szCs w:val="24"/>
          <w:lang w:eastAsia="tr-TR"/>
        </w:rPr>
        <w:t>, ilgili sözleşme çerçevesinde d</w:t>
      </w:r>
      <w:r w:rsidR="00D8466C">
        <w:rPr>
          <w:rFonts w:ascii="Times New Roman" w:eastAsia="Times New Roman" w:hAnsi="Times New Roman"/>
          <w:sz w:val="24"/>
          <w:szCs w:val="24"/>
          <w:lang w:eastAsia="tr-TR"/>
        </w:rPr>
        <w:t>üze</w:t>
      </w:r>
      <w:r w:rsidR="007F4563">
        <w:rPr>
          <w:rFonts w:ascii="Times New Roman" w:eastAsia="Times New Roman" w:hAnsi="Times New Roman"/>
          <w:sz w:val="24"/>
          <w:szCs w:val="24"/>
          <w:lang w:eastAsia="tr-TR"/>
        </w:rPr>
        <w:t>nsiz ödeme yapıldığı</w:t>
      </w:r>
      <w:r w:rsidR="00A853AE">
        <w:rPr>
          <w:rFonts w:ascii="Times New Roman" w:eastAsia="Times New Roman" w:hAnsi="Times New Roman"/>
          <w:sz w:val="24"/>
          <w:szCs w:val="24"/>
          <w:lang w:eastAsia="tr-TR"/>
        </w:rPr>
        <w:t xml:space="preserve"> kabul edilir.</w:t>
      </w:r>
      <w:r w:rsidR="005113BC">
        <w:rPr>
          <w:rFonts w:ascii="Times New Roman" w:eastAsia="Times New Roman" w:hAnsi="Times New Roman"/>
          <w:sz w:val="24"/>
          <w:szCs w:val="24"/>
          <w:lang w:eastAsia="tr-TR"/>
        </w:rPr>
        <w:t xml:space="preserve"> Sözleşme kuruluş aşamasında ve teklif formlarında düzensiz ödeme statüsüne ilişkin bilgilendirme yapılır.</w:t>
      </w:r>
      <w:r w:rsidR="00655D05">
        <w:rPr>
          <w:rFonts w:ascii="Times New Roman" w:eastAsia="Times New Roman" w:hAnsi="Times New Roman"/>
          <w:sz w:val="24"/>
          <w:szCs w:val="24"/>
          <w:lang w:eastAsia="tr-TR"/>
        </w:rPr>
        <w:t xml:space="preserve"> Düzensiz ödeme kapsamına giren sözleşmeler için katılımcılara, düzensiz ödeme statüsünün başladığı tarihi müteakip beş iş günü içerisinde bilgi verilir.</w:t>
      </w:r>
      <w:r w:rsidR="005113BC">
        <w:rPr>
          <w:rFonts w:ascii="Times New Roman" w:eastAsia="Times New Roman" w:hAnsi="Times New Roman"/>
          <w:sz w:val="24"/>
          <w:szCs w:val="24"/>
          <w:lang w:eastAsia="tr-TR"/>
        </w:rPr>
        <w:t xml:space="preserve"> </w:t>
      </w:r>
      <w:r w:rsidR="00655D05">
        <w:rPr>
          <w:rFonts w:ascii="Times New Roman" w:eastAsia="Times New Roman" w:hAnsi="Times New Roman"/>
          <w:sz w:val="24"/>
          <w:szCs w:val="24"/>
          <w:lang w:eastAsia="tr-TR"/>
        </w:rPr>
        <w:t xml:space="preserve">Bu bilgilendirme, </w:t>
      </w:r>
      <w:r w:rsidR="00655D05" w:rsidRPr="003F47F9">
        <w:rPr>
          <w:rFonts w:ascii="Times New Roman" w:eastAsia="Times New Roman" w:hAnsi="Times New Roman"/>
          <w:sz w:val="24"/>
          <w:szCs w:val="24"/>
          <w:lang w:eastAsia="tr-TR"/>
        </w:rPr>
        <w:t>katılımcının tanımlı elektronik posta adresi</w:t>
      </w:r>
      <w:r w:rsidR="00945277">
        <w:rPr>
          <w:rFonts w:ascii="Times New Roman" w:eastAsia="Times New Roman" w:hAnsi="Times New Roman"/>
          <w:sz w:val="24"/>
          <w:szCs w:val="24"/>
          <w:lang w:eastAsia="tr-TR"/>
        </w:rPr>
        <w:t>ne,</w:t>
      </w:r>
      <w:r w:rsidR="00655D05" w:rsidRPr="00655D05">
        <w:rPr>
          <w:rFonts w:ascii="Times New Roman" w:eastAsia="Times New Roman" w:hAnsi="Times New Roman"/>
          <w:sz w:val="24"/>
          <w:szCs w:val="24"/>
          <w:lang w:eastAsia="tr-TR"/>
        </w:rPr>
        <w:t xml:space="preserve"> </w:t>
      </w:r>
      <w:r w:rsidR="00655D05" w:rsidRPr="00B41FE7">
        <w:rPr>
          <w:rFonts w:ascii="Times New Roman" w:eastAsia="Times New Roman" w:hAnsi="Times New Roman"/>
          <w:sz w:val="24"/>
          <w:szCs w:val="24"/>
          <w:lang w:eastAsia="tr-TR"/>
        </w:rPr>
        <w:t xml:space="preserve"> faksına</w:t>
      </w:r>
      <w:r w:rsidR="00945277">
        <w:rPr>
          <w:rFonts w:ascii="Times New Roman" w:eastAsia="Times New Roman" w:hAnsi="Times New Roman"/>
          <w:sz w:val="24"/>
          <w:szCs w:val="24"/>
          <w:lang w:eastAsia="tr-TR"/>
        </w:rPr>
        <w:t xml:space="preserve"> veya</w:t>
      </w:r>
      <w:r w:rsidR="00655D05" w:rsidRPr="003F47F9">
        <w:rPr>
          <w:rFonts w:ascii="Times New Roman" w:eastAsia="Times New Roman" w:hAnsi="Times New Roman"/>
          <w:sz w:val="24"/>
          <w:szCs w:val="24"/>
          <w:lang w:eastAsia="tr-TR"/>
        </w:rPr>
        <w:t xml:space="preserve"> tanımlı cep telefonuna kısa mesaj yoluyla</w:t>
      </w:r>
      <w:r w:rsidR="005113BC">
        <w:rPr>
          <w:rFonts w:ascii="Times New Roman" w:eastAsia="Times New Roman" w:hAnsi="Times New Roman"/>
          <w:sz w:val="24"/>
          <w:szCs w:val="24"/>
          <w:lang w:eastAsia="tr-TR"/>
        </w:rPr>
        <w:t xml:space="preserve"> yapılır.</w:t>
      </w:r>
    </w:p>
    <w:p w:rsidR="00A853AE" w:rsidRDefault="00A853AE" w:rsidP="005908A3">
      <w:pPr>
        <w:pStyle w:val="ListeParagraf"/>
        <w:ind w:left="0"/>
        <w:rPr>
          <w:rFonts w:ascii="Times New Roman" w:eastAsia="Times New Roman" w:hAnsi="Times New Roman"/>
          <w:sz w:val="24"/>
          <w:szCs w:val="24"/>
          <w:lang w:eastAsia="tr-TR"/>
        </w:rPr>
      </w:pPr>
    </w:p>
    <w:p w:rsidR="000667C0" w:rsidRDefault="007B4608" w:rsidP="00286BBD">
      <w:pPr>
        <w:pStyle w:val="ListeParagraf"/>
        <w:numPr>
          <w:ilvl w:val="0"/>
          <w:numId w:val="24"/>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Düzensiz ödeme </w:t>
      </w:r>
      <w:r w:rsidR="0025597A">
        <w:rPr>
          <w:rFonts w:ascii="Times New Roman" w:eastAsia="Times New Roman" w:hAnsi="Times New Roman"/>
          <w:sz w:val="24"/>
          <w:szCs w:val="24"/>
          <w:lang w:eastAsia="tr-TR"/>
        </w:rPr>
        <w:t>yapıldığı kabul edilen</w:t>
      </w:r>
      <w:r>
        <w:rPr>
          <w:rFonts w:ascii="Times New Roman" w:eastAsia="Times New Roman" w:hAnsi="Times New Roman"/>
          <w:sz w:val="24"/>
          <w:szCs w:val="24"/>
          <w:lang w:eastAsia="tr-TR"/>
        </w:rPr>
        <w:t xml:space="preserve"> bir</w:t>
      </w:r>
      <w:r w:rsidR="00C5648B">
        <w:rPr>
          <w:rFonts w:ascii="Times New Roman" w:eastAsia="Times New Roman" w:hAnsi="Times New Roman"/>
          <w:sz w:val="24"/>
          <w:szCs w:val="24"/>
          <w:lang w:eastAsia="tr-TR"/>
        </w:rPr>
        <w:t xml:space="preserve"> sözleşme</w:t>
      </w:r>
      <w:r w:rsidR="008A3B7F">
        <w:rPr>
          <w:rFonts w:ascii="Times New Roman" w:eastAsia="Times New Roman" w:hAnsi="Times New Roman"/>
          <w:sz w:val="24"/>
          <w:szCs w:val="24"/>
          <w:lang w:eastAsia="tr-TR"/>
        </w:rPr>
        <w:t xml:space="preserve"> </w:t>
      </w:r>
      <w:r w:rsidR="00A26AEC">
        <w:rPr>
          <w:rFonts w:ascii="Times New Roman" w:eastAsia="Times New Roman" w:hAnsi="Times New Roman"/>
          <w:sz w:val="24"/>
          <w:szCs w:val="24"/>
          <w:lang w:eastAsia="tr-TR"/>
        </w:rPr>
        <w:t>kapsamında yeniden</w:t>
      </w:r>
      <w:r w:rsidR="00690C3F">
        <w:rPr>
          <w:rFonts w:ascii="Times New Roman" w:eastAsia="Times New Roman" w:hAnsi="Times New Roman"/>
          <w:sz w:val="24"/>
          <w:szCs w:val="24"/>
          <w:lang w:eastAsia="tr-TR"/>
        </w:rPr>
        <w:t xml:space="preserve"> </w:t>
      </w:r>
      <w:r w:rsidR="00E076E8">
        <w:rPr>
          <w:rFonts w:ascii="Times New Roman" w:eastAsia="Times New Roman" w:hAnsi="Times New Roman"/>
          <w:sz w:val="24"/>
          <w:szCs w:val="24"/>
          <w:lang w:eastAsia="tr-TR"/>
        </w:rPr>
        <w:t xml:space="preserve">emeklilik sözleşmesinde belirlenen vadeye ait </w:t>
      </w:r>
      <w:r w:rsidR="00286BBD" w:rsidRPr="00286BBD">
        <w:rPr>
          <w:rFonts w:ascii="Times New Roman" w:eastAsia="Times New Roman" w:hAnsi="Times New Roman"/>
          <w:sz w:val="24"/>
          <w:szCs w:val="24"/>
          <w:lang w:eastAsia="tr-TR"/>
        </w:rPr>
        <w:t>katkı payı ödemelerinden vadesinde yapılmamış olanların tamamının ödenmesi</w:t>
      </w:r>
      <w:r w:rsidR="00286BBD">
        <w:rPr>
          <w:rFonts w:ascii="Times New Roman" w:eastAsia="Times New Roman" w:hAnsi="Times New Roman"/>
          <w:sz w:val="24"/>
          <w:szCs w:val="24"/>
          <w:lang w:eastAsia="tr-TR"/>
        </w:rPr>
        <w:t xml:space="preserve"> </w:t>
      </w:r>
      <w:r w:rsidR="008A3B7F">
        <w:rPr>
          <w:rFonts w:ascii="Times New Roman" w:eastAsia="Times New Roman" w:hAnsi="Times New Roman"/>
          <w:sz w:val="24"/>
          <w:szCs w:val="24"/>
          <w:lang w:eastAsia="tr-TR"/>
        </w:rPr>
        <w:t>durumunda, sözleşme çerç</w:t>
      </w:r>
      <w:r w:rsidR="00A557CC">
        <w:rPr>
          <w:rFonts w:ascii="Times New Roman" w:eastAsia="Times New Roman" w:hAnsi="Times New Roman"/>
          <w:sz w:val="24"/>
          <w:szCs w:val="24"/>
          <w:lang w:eastAsia="tr-TR"/>
        </w:rPr>
        <w:t>evesinde düzenli ödeme yapılmaya başlandığı</w:t>
      </w:r>
      <w:r w:rsidR="008A3B7F">
        <w:rPr>
          <w:rFonts w:ascii="Times New Roman" w:eastAsia="Times New Roman" w:hAnsi="Times New Roman"/>
          <w:sz w:val="24"/>
          <w:szCs w:val="24"/>
          <w:lang w:eastAsia="tr-TR"/>
        </w:rPr>
        <w:t xml:space="preserve"> kabul edilir.</w:t>
      </w:r>
      <w:r w:rsidR="003C1A25">
        <w:rPr>
          <w:rFonts w:ascii="Times New Roman" w:eastAsia="Times New Roman" w:hAnsi="Times New Roman"/>
          <w:sz w:val="24"/>
          <w:szCs w:val="24"/>
          <w:lang w:eastAsia="tr-TR"/>
        </w:rPr>
        <w:t xml:space="preserve"> </w:t>
      </w:r>
      <w:r w:rsidR="007D1256" w:rsidRPr="007D1256">
        <w:rPr>
          <w:rFonts w:ascii="Times New Roman" w:eastAsia="Times New Roman" w:hAnsi="Times New Roman"/>
          <w:sz w:val="24"/>
          <w:szCs w:val="24"/>
          <w:lang w:eastAsia="tr-TR"/>
        </w:rPr>
        <w:t>Kontrol tarihi itibarıyla toplam birikim tutarı yıllık brüt asgari ücretin o</w:t>
      </w:r>
      <w:r w:rsidR="007D1256">
        <w:rPr>
          <w:rFonts w:ascii="Times New Roman" w:eastAsia="Times New Roman" w:hAnsi="Times New Roman"/>
          <w:sz w:val="24"/>
          <w:szCs w:val="24"/>
          <w:lang w:eastAsia="tr-TR"/>
        </w:rPr>
        <w:t xml:space="preserve">n katını aşan sözleşmeler ile </w:t>
      </w:r>
      <w:r w:rsidR="007D1256" w:rsidRPr="007D1256">
        <w:rPr>
          <w:rFonts w:ascii="Times New Roman" w:eastAsia="Times New Roman" w:hAnsi="Times New Roman"/>
          <w:sz w:val="24"/>
          <w:szCs w:val="24"/>
          <w:lang w:eastAsia="tr-TR"/>
        </w:rPr>
        <w:t>Yönetmelik çe</w:t>
      </w:r>
      <w:r w:rsidR="007D1256">
        <w:rPr>
          <w:rFonts w:ascii="Times New Roman" w:eastAsia="Times New Roman" w:hAnsi="Times New Roman"/>
          <w:sz w:val="24"/>
          <w:szCs w:val="24"/>
          <w:lang w:eastAsia="tr-TR"/>
        </w:rPr>
        <w:t>rçevesinde düzensiz ödeme statüsünde olan sözleşmeler için kesintilere yönelik üst sınıra ilişkin</w:t>
      </w:r>
      <w:r w:rsidR="007D1256" w:rsidRPr="007D1256">
        <w:rPr>
          <w:rFonts w:ascii="Times New Roman" w:eastAsia="Times New Roman" w:hAnsi="Times New Roman"/>
          <w:sz w:val="24"/>
          <w:szCs w:val="24"/>
          <w:lang w:eastAsia="tr-TR"/>
        </w:rPr>
        <w:t xml:space="preserve"> kontrol uygulanmaz.</w:t>
      </w:r>
      <w:r w:rsidR="00655D05">
        <w:rPr>
          <w:rFonts w:ascii="Times New Roman" w:eastAsia="Times New Roman" w:hAnsi="Times New Roman"/>
          <w:sz w:val="24"/>
          <w:szCs w:val="24"/>
          <w:lang w:eastAsia="tr-TR"/>
        </w:rPr>
        <w:t xml:space="preserve"> </w:t>
      </w:r>
    </w:p>
    <w:p w:rsidR="00E90E93" w:rsidRDefault="00E90E93" w:rsidP="000667C0">
      <w:pPr>
        <w:pStyle w:val="ListeParagraf"/>
        <w:tabs>
          <w:tab w:val="left" w:pos="851"/>
          <w:tab w:val="left" w:pos="993"/>
        </w:tabs>
        <w:spacing w:after="0" w:line="240" w:lineRule="auto"/>
        <w:ind w:left="0"/>
        <w:jc w:val="both"/>
        <w:rPr>
          <w:rFonts w:ascii="Times New Roman" w:eastAsia="Times New Roman" w:hAnsi="Times New Roman"/>
          <w:sz w:val="24"/>
          <w:szCs w:val="24"/>
          <w:lang w:eastAsia="tr-TR"/>
        </w:rPr>
      </w:pPr>
    </w:p>
    <w:p w:rsidR="000D3817" w:rsidRDefault="000D3817" w:rsidP="000667C0">
      <w:pPr>
        <w:pStyle w:val="ListeParagraf"/>
        <w:tabs>
          <w:tab w:val="left" w:pos="851"/>
          <w:tab w:val="left" w:pos="993"/>
        </w:tabs>
        <w:spacing w:after="0" w:line="240" w:lineRule="auto"/>
        <w:ind w:left="0"/>
        <w:jc w:val="both"/>
        <w:rPr>
          <w:rFonts w:ascii="Times New Roman" w:eastAsia="Times New Roman" w:hAnsi="Times New Roman"/>
          <w:sz w:val="24"/>
          <w:szCs w:val="24"/>
          <w:lang w:eastAsia="tr-TR"/>
        </w:rPr>
      </w:pPr>
    </w:p>
    <w:p w:rsidR="000D3817" w:rsidRDefault="000D3817" w:rsidP="000667C0">
      <w:pPr>
        <w:pStyle w:val="ListeParagraf"/>
        <w:tabs>
          <w:tab w:val="left" w:pos="851"/>
          <w:tab w:val="left" w:pos="993"/>
        </w:tabs>
        <w:spacing w:after="0" w:line="240" w:lineRule="auto"/>
        <w:ind w:left="0"/>
        <w:jc w:val="both"/>
        <w:rPr>
          <w:rFonts w:ascii="Times New Roman" w:eastAsia="Times New Roman" w:hAnsi="Times New Roman"/>
          <w:sz w:val="24"/>
          <w:szCs w:val="24"/>
          <w:lang w:eastAsia="tr-TR"/>
        </w:rPr>
      </w:pPr>
    </w:p>
    <w:p w:rsidR="003F69E7" w:rsidRDefault="003F69E7" w:rsidP="000667C0">
      <w:pPr>
        <w:pStyle w:val="ListeParagraf"/>
        <w:tabs>
          <w:tab w:val="left" w:pos="851"/>
          <w:tab w:val="left" w:pos="993"/>
        </w:tabs>
        <w:spacing w:after="0" w:line="240" w:lineRule="auto"/>
        <w:ind w:left="0"/>
        <w:jc w:val="both"/>
        <w:rPr>
          <w:rFonts w:ascii="Times New Roman" w:eastAsia="Times New Roman" w:hAnsi="Times New Roman"/>
          <w:sz w:val="24"/>
          <w:szCs w:val="24"/>
          <w:lang w:eastAsia="tr-TR"/>
        </w:rPr>
      </w:pPr>
    </w:p>
    <w:p w:rsidR="000D3817" w:rsidRDefault="000D3817" w:rsidP="000667C0">
      <w:pPr>
        <w:pStyle w:val="ListeParagraf"/>
        <w:tabs>
          <w:tab w:val="left" w:pos="851"/>
          <w:tab w:val="left" w:pos="993"/>
        </w:tabs>
        <w:spacing w:after="0" w:line="240" w:lineRule="auto"/>
        <w:ind w:left="0"/>
        <w:jc w:val="both"/>
        <w:rPr>
          <w:rFonts w:ascii="Times New Roman" w:eastAsia="Times New Roman" w:hAnsi="Times New Roman"/>
          <w:sz w:val="24"/>
          <w:szCs w:val="24"/>
          <w:lang w:eastAsia="tr-TR"/>
        </w:rPr>
      </w:pPr>
    </w:p>
    <w:p w:rsidR="00E90E93" w:rsidRDefault="004C0D1D" w:rsidP="00560718">
      <w:pPr>
        <w:pStyle w:val="ListeParagraf"/>
        <w:numPr>
          <w:ilvl w:val="0"/>
          <w:numId w:val="25"/>
        </w:numPr>
        <w:tabs>
          <w:tab w:val="left" w:pos="851"/>
          <w:tab w:val="left" w:pos="993"/>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Kesintilere yönelik üst sınıra ilişkin açıklamalar</w:t>
      </w:r>
    </w:p>
    <w:p w:rsidR="007B4608" w:rsidRDefault="007B4608" w:rsidP="000667C0">
      <w:pPr>
        <w:pStyle w:val="ListeParagraf"/>
        <w:tabs>
          <w:tab w:val="left" w:pos="851"/>
          <w:tab w:val="left" w:pos="993"/>
        </w:tabs>
        <w:spacing w:after="0" w:line="240" w:lineRule="auto"/>
        <w:ind w:left="0"/>
        <w:jc w:val="both"/>
        <w:rPr>
          <w:rFonts w:ascii="Times New Roman" w:eastAsia="Times New Roman" w:hAnsi="Times New Roman"/>
          <w:b/>
          <w:sz w:val="24"/>
          <w:szCs w:val="24"/>
          <w:lang w:eastAsia="tr-TR"/>
        </w:rPr>
      </w:pPr>
    </w:p>
    <w:p w:rsidR="00F63193" w:rsidRPr="009714C5" w:rsidRDefault="005F51A9" w:rsidP="00677839">
      <w:pPr>
        <w:numPr>
          <w:ilvl w:val="0"/>
          <w:numId w:val="31"/>
        </w:numPr>
        <w:jc w:val="both"/>
        <w:rPr>
          <w:rFonts w:ascii="Times New Roman" w:eastAsia="ヒラギノ明朝 Pro W3" w:hAnsi="Times New Roman"/>
          <w:sz w:val="24"/>
          <w:szCs w:val="24"/>
          <w:lang w:eastAsia="tr-TR"/>
        </w:rPr>
      </w:pPr>
      <w:r>
        <w:rPr>
          <w:rFonts w:ascii="Times New Roman" w:eastAsia="Times New Roman" w:hAnsi="Times New Roman"/>
          <w:sz w:val="24"/>
          <w:szCs w:val="24"/>
          <w:lang w:eastAsia="tr-TR"/>
        </w:rPr>
        <w:t>Yönetmeliğin ekinde (Ek-3)</w:t>
      </w:r>
      <w:r w:rsidR="00E6471D">
        <w:rPr>
          <w:rFonts w:ascii="Times New Roman" w:eastAsia="Times New Roman" w:hAnsi="Times New Roman"/>
          <w:sz w:val="24"/>
          <w:szCs w:val="24"/>
          <w:lang w:eastAsia="tr-TR"/>
        </w:rPr>
        <w:t xml:space="preserve"> belirtilen, kesintilere ilişkin üst sınırlara yönelik olarak yapılan kontrol</w:t>
      </w:r>
      <w:r>
        <w:rPr>
          <w:rFonts w:ascii="Times New Roman" w:eastAsia="Times New Roman" w:hAnsi="Times New Roman"/>
          <w:sz w:val="24"/>
          <w:szCs w:val="24"/>
          <w:lang w:eastAsia="tr-TR"/>
        </w:rPr>
        <w:t>ler</w:t>
      </w:r>
      <w:r w:rsidR="00DD3B3C">
        <w:rPr>
          <w:rFonts w:ascii="Times New Roman" w:eastAsia="Times New Roman" w:hAnsi="Times New Roman"/>
          <w:sz w:val="24"/>
          <w:szCs w:val="24"/>
          <w:lang w:eastAsia="tr-TR"/>
        </w:rPr>
        <w:t>e ilişkin süre hesabında</w:t>
      </w:r>
      <w:r w:rsidR="00E6471D">
        <w:rPr>
          <w:rFonts w:ascii="Times New Roman" w:eastAsia="Times New Roman" w:hAnsi="Times New Roman"/>
          <w:sz w:val="24"/>
          <w:szCs w:val="24"/>
          <w:lang w:eastAsia="tr-TR"/>
        </w:rPr>
        <w:t xml:space="preserve">, </w:t>
      </w:r>
      <w:r w:rsidR="006A0CF9">
        <w:rPr>
          <w:rFonts w:ascii="Times New Roman" w:eastAsia="ヒラギノ明朝 Pro W3" w:hAnsi="Times New Roman"/>
          <w:sz w:val="24"/>
          <w:szCs w:val="24"/>
          <w:lang w:eastAsia="tr-TR"/>
        </w:rPr>
        <w:t>kontrole tabi olan</w:t>
      </w:r>
      <w:r w:rsidR="00E74A5A">
        <w:rPr>
          <w:rFonts w:ascii="Times New Roman" w:eastAsia="ヒラギノ明朝 Pro W3" w:hAnsi="Times New Roman"/>
          <w:sz w:val="24"/>
          <w:szCs w:val="24"/>
          <w:lang w:eastAsia="tr-TR"/>
        </w:rPr>
        <w:t xml:space="preserve"> </w:t>
      </w:r>
      <w:r w:rsidR="00E74A5A" w:rsidRPr="00677839">
        <w:rPr>
          <w:rFonts w:ascii="Times New Roman" w:eastAsia="ヒラギノ明朝 Pro W3" w:hAnsi="Times New Roman"/>
          <w:sz w:val="24"/>
          <w:szCs w:val="24"/>
          <w:lang w:eastAsia="tr-TR"/>
        </w:rPr>
        <w:t>sözleşmede geçirilen süre</w:t>
      </w:r>
      <w:r w:rsidR="00DD3B3C" w:rsidRPr="00F96FBF">
        <w:rPr>
          <w:rFonts w:ascii="Times New Roman" w:eastAsia="ヒラギノ明朝 Pro W3" w:hAnsi="Times New Roman"/>
          <w:sz w:val="24"/>
          <w:szCs w:val="24"/>
          <w:lang w:eastAsia="tr-TR"/>
        </w:rPr>
        <w:t xml:space="preserve"> </w:t>
      </w:r>
      <w:r w:rsidR="00E6471D" w:rsidRPr="00F96FBF">
        <w:rPr>
          <w:rFonts w:ascii="Times New Roman" w:eastAsia="ヒラギノ明朝 Pro W3" w:hAnsi="Times New Roman"/>
          <w:sz w:val="24"/>
          <w:szCs w:val="24"/>
          <w:lang w:eastAsia="tr-TR"/>
        </w:rPr>
        <w:t>esas alınır.</w:t>
      </w:r>
      <w:r w:rsidR="0057610D" w:rsidRPr="00F03696">
        <w:rPr>
          <w:rFonts w:ascii="Times New Roman" w:eastAsia="ヒラギノ明朝 Pro W3" w:hAnsi="Times New Roman"/>
          <w:sz w:val="24"/>
          <w:szCs w:val="24"/>
          <w:lang w:eastAsia="tr-TR"/>
        </w:rPr>
        <w:t xml:space="preserve"> </w:t>
      </w:r>
    </w:p>
    <w:p w:rsidR="00F63193" w:rsidRDefault="00240AE8" w:rsidP="009E5402">
      <w:pPr>
        <w:tabs>
          <w:tab w:val="left" w:pos="709"/>
        </w:tabs>
        <w:ind w:left="708"/>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 xml:space="preserve">01.01.2016 tarihinden sonra başka bir şirketten aktarım yoluyla düzenlenen sözleşmeler için; sözleşmede geçirilen süre hesabında, önceki şirketlerde ilgili aktarıma/aktarımlara konu sözleşmelerde geçirilen süreler de dikkate alınır. </w:t>
      </w:r>
      <w:r w:rsidR="00F63193">
        <w:rPr>
          <w:rFonts w:ascii="Times New Roman" w:eastAsia="ヒラギノ明朝 Pro W3" w:hAnsi="Times New Roman"/>
          <w:sz w:val="24"/>
          <w:szCs w:val="24"/>
          <w:lang w:eastAsia="tr-TR"/>
        </w:rPr>
        <w:t>Ancak,  01.01.2016 tarihinden önce gerçekleşen aktarımlar için; sözleşmede geçirilen süre hesabında önceki şirketlerde aktarıma/aktarımlara konu sözleşmelerde geçirilen süreler dikkate alınmaz.</w:t>
      </w:r>
      <w:r w:rsidR="00750A43">
        <w:rPr>
          <w:rFonts w:ascii="Times New Roman" w:eastAsia="ヒラギノ明朝 Pro W3" w:hAnsi="Times New Roman"/>
          <w:sz w:val="24"/>
          <w:szCs w:val="24"/>
          <w:lang w:eastAsia="tr-TR"/>
        </w:rPr>
        <w:t xml:space="preserve"> </w:t>
      </w:r>
      <w:r w:rsidR="009E5402">
        <w:rPr>
          <w:rFonts w:ascii="Times New Roman" w:eastAsia="ヒラギノ明朝 Pro W3" w:hAnsi="Times New Roman"/>
          <w:sz w:val="24"/>
          <w:szCs w:val="24"/>
          <w:lang w:eastAsia="tr-TR"/>
        </w:rPr>
        <w:t xml:space="preserve">Bu çerçevede, örneğin, 6. yılında bulunan ve devlet katkısı hesabında 100 TL bulunan bir sözleşme A şirketinden B şirketine aktarım yolu ile geçmiştir. A şirketi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120 TL’nin üzerinde yaptığı kesintiyi iade edecektir. </w:t>
      </w:r>
      <w:proofErr w:type="gramStart"/>
      <w:r w:rsidR="009E5402">
        <w:rPr>
          <w:rFonts w:ascii="Times New Roman" w:eastAsia="ヒラギノ明朝 Pro W3" w:hAnsi="Times New Roman"/>
          <w:sz w:val="24"/>
          <w:szCs w:val="24"/>
          <w:lang w:eastAsia="tr-TR"/>
        </w:rPr>
        <w:t>(</w:t>
      </w:r>
      <w:proofErr w:type="gramEnd"/>
      <w:r w:rsidR="009E5402">
        <w:rPr>
          <w:rFonts w:ascii="Times New Roman" w:eastAsia="ヒラギノ明朝 Pro W3" w:hAnsi="Times New Roman"/>
          <w:sz w:val="24"/>
          <w:szCs w:val="24"/>
          <w:lang w:eastAsia="tr-TR"/>
        </w:rPr>
        <w:t>200*%80=160 TL. 160 TL-40 TL=120 TL</w:t>
      </w:r>
      <w:proofErr w:type="gramStart"/>
      <w:r w:rsidR="009E5402">
        <w:rPr>
          <w:rFonts w:ascii="Times New Roman" w:eastAsia="ヒラギノ明朝 Pro W3" w:hAnsi="Times New Roman"/>
          <w:sz w:val="24"/>
          <w:szCs w:val="24"/>
          <w:lang w:eastAsia="tr-TR"/>
        </w:rPr>
        <w:t>)</w:t>
      </w:r>
      <w:proofErr w:type="gramEnd"/>
      <w:r w:rsidR="009E5402">
        <w:rPr>
          <w:rFonts w:ascii="Times New Roman" w:eastAsia="ヒラギノ明朝 Pro W3" w:hAnsi="Times New Roman"/>
          <w:sz w:val="24"/>
          <w:szCs w:val="24"/>
          <w:lang w:eastAsia="tr-TR"/>
        </w:rPr>
        <w:t>.</w:t>
      </w:r>
    </w:p>
    <w:p w:rsidR="00E6471D" w:rsidRDefault="00F63193" w:rsidP="009E5402">
      <w:pPr>
        <w:pStyle w:val="ListeParagraf"/>
        <w:tabs>
          <w:tab w:val="left" w:pos="709"/>
        </w:tabs>
        <w:spacing w:after="0" w:line="240" w:lineRule="auto"/>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Diğer taraftan,</w:t>
      </w:r>
      <w:r w:rsidR="00240AE8">
        <w:rPr>
          <w:rFonts w:ascii="Times New Roman" w:eastAsia="ヒラギノ明朝 Pro W3" w:hAnsi="Times New Roman"/>
          <w:sz w:val="24"/>
          <w:szCs w:val="24"/>
          <w:lang w:eastAsia="tr-TR"/>
        </w:rPr>
        <w:t xml:space="preserve"> </w:t>
      </w:r>
      <w:r w:rsidR="00942AC5" w:rsidRPr="00942AC5">
        <w:rPr>
          <w:rFonts w:ascii="Times New Roman" w:eastAsia="ヒラギノ明朝 Pro W3" w:hAnsi="Times New Roman"/>
          <w:sz w:val="24"/>
          <w:szCs w:val="24"/>
          <w:lang w:eastAsia="tr-TR"/>
        </w:rPr>
        <w:t xml:space="preserve">Bireysel emeklilik sistemine hayat sigortalarından yapılanlar </w:t>
      </w:r>
      <w:proofErr w:type="gramStart"/>
      <w:r w:rsidR="00942AC5" w:rsidRPr="00942AC5">
        <w:rPr>
          <w:rFonts w:ascii="Times New Roman" w:eastAsia="ヒラギノ明朝 Pro W3" w:hAnsi="Times New Roman"/>
          <w:sz w:val="24"/>
          <w:szCs w:val="24"/>
          <w:lang w:eastAsia="tr-TR"/>
        </w:rPr>
        <w:t>dahil</w:t>
      </w:r>
      <w:proofErr w:type="gramEnd"/>
      <w:r w:rsidR="00942AC5" w:rsidRPr="00942AC5">
        <w:rPr>
          <w:rFonts w:ascii="Times New Roman" w:eastAsia="ヒラギノ明朝 Pro W3" w:hAnsi="Times New Roman"/>
          <w:sz w:val="24"/>
          <w:szCs w:val="24"/>
          <w:lang w:eastAsia="tr-TR"/>
        </w:rPr>
        <w:t xml:space="preserve"> 4632 sayılı Kanunun Geçici 1 inci maddesi kapsamında yapılan aktarımlarda</w:t>
      </w:r>
      <w:r w:rsidR="00A4236B">
        <w:rPr>
          <w:rFonts w:ascii="Times New Roman" w:eastAsia="ヒラギノ明朝 Pro W3" w:hAnsi="Times New Roman"/>
          <w:sz w:val="24"/>
          <w:szCs w:val="24"/>
          <w:lang w:eastAsia="tr-TR"/>
        </w:rPr>
        <w:t xml:space="preserve">, </w:t>
      </w:r>
      <w:r w:rsidR="00240AE8">
        <w:rPr>
          <w:rFonts w:ascii="Times New Roman" w:eastAsia="ヒラギノ明朝 Pro W3" w:hAnsi="Times New Roman"/>
          <w:sz w:val="24"/>
          <w:szCs w:val="24"/>
          <w:lang w:eastAsia="tr-TR"/>
        </w:rPr>
        <w:t xml:space="preserve">fiilen </w:t>
      </w:r>
      <w:r w:rsidR="00A4236B">
        <w:rPr>
          <w:rFonts w:ascii="Times New Roman" w:eastAsia="ヒラギノ明朝 Pro W3" w:hAnsi="Times New Roman"/>
          <w:sz w:val="24"/>
          <w:szCs w:val="24"/>
          <w:lang w:eastAsia="tr-TR"/>
        </w:rPr>
        <w:t xml:space="preserve">bireysel emeklilik sistemi dışında geçirilen süreler dikkate alınmaz. </w:t>
      </w:r>
      <w:r w:rsidDel="00F63193">
        <w:rPr>
          <w:rFonts w:ascii="Times New Roman" w:eastAsia="ヒラギノ明朝 Pro W3" w:hAnsi="Times New Roman"/>
          <w:sz w:val="24"/>
          <w:szCs w:val="24"/>
          <w:lang w:eastAsia="tr-TR"/>
        </w:rPr>
        <w:t xml:space="preserve"> </w:t>
      </w:r>
      <w:r w:rsidR="004520B4">
        <w:rPr>
          <w:rFonts w:ascii="Times New Roman" w:eastAsia="ヒラギノ明朝 Pro W3" w:hAnsi="Times New Roman"/>
          <w:sz w:val="24"/>
          <w:szCs w:val="24"/>
          <w:lang w:eastAsia="tr-TR"/>
        </w:rPr>
        <w:t>.</w:t>
      </w:r>
      <w:r w:rsidR="009E5402">
        <w:rPr>
          <w:rFonts w:ascii="Times New Roman" w:eastAsia="ヒラギノ明朝 Pro W3" w:hAnsi="Times New Roman"/>
          <w:sz w:val="24"/>
          <w:szCs w:val="24"/>
          <w:lang w:eastAsia="tr-TR"/>
        </w:rPr>
        <w:t xml:space="preserve"> </w:t>
      </w:r>
    </w:p>
    <w:p w:rsidR="00A853AE" w:rsidRDefault="00A853AE" w:rsidP="00A853AE">
      <w:pPr>
        <w:pStyle w:val="ListeParagraf"/>
        <w:tabs>
          <w:tab w:val="left" w:pos="709"/>
        </w:tabs>
        <w:spacing w:after="0" w:line="240" w:lineRule="auto"/>
        <w:jc w:val="both"/>
        <w:rPr>
          <w:rFonts w:ascii="Times New Roman" w:eastAsia="ヒラギノ明朝 Pro W3" w:hAnsi="Times New Roman"/>
          <w:sz w:val="24"/>
          <w:szCs w:val="24"/>
          <w:lang w:eastAsia="tr-TR"/>
        </w:rPr>
      </w:pPr>
    </w:p>
    <w:p w:rsidR="004520B4" w:rsidRDefault="0054780E" w:rsidP="00F96FBF">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01.01.2016 tarihinden önce yürürlüğe girmiş olan </w:t>
      </w:r>
      <w:r w:rsidR="007F6C2A">
        <w:rPr>
          <w:rFonts w:ascii="Times New Roman" w:eastAsia="Times New Roman" w:hAnsi="Times New Roman"/>
          <w:sz w:val="24"/>
          <w:szCs w:val="24"/>
          <w:lang w:eastAsia="tr-TR"/>
        </w:rPr>
        <w:t xml:space="preserve">ve </w:t>
      </w:r>
      <w:r w:rsidR="007F6C2A" w:rsidRPr="00BC215E">
        <w:rPr>
          <w:rFonts w:ascii="Times New Roman" w:eastAsia="ヒラギノ明朝 Pro W3" w:hAnsi="Times New Roman"/>
          <w:sz w:val="24"/>
          <w:szCs w:val="24"/>
          <w:lang w:eastAsia="tr-TR"/>
        </w:rPr>
        <w:t>bu tarih itibarıyla halen yürürlükte bulunan</w:t>
      </w:r>
      <w:r w:rsidR="007F6C2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sözl</w:t>
      </w:r>
      <w:r w:rsidR="00086AD8">
        <w:rPr>
          <w:rFonts w:ascii="Times New Roman" w:eastAsia="Times New Roman" w:hAnsi="Times New Roman"/>
          <w:sz w:val="24"/>
          <w:szCs w:val="24"/>
          <w:lang w:eastAsia="tr-TR"/>
        </w:rPr>
        <w:t>eşmeler kapsamında, söz konusu</w:t>
      </w:r>
      <w:r w:rsidR="007F6C2A">
        <w:rPr>
          <w:rFonts w:ascii="Times New Roman" w:eastAsia="Times New Roman" w:hAnsi="Times New Roman"/>
          <w:sz w:val="24"/>
          <w:szCs w:val="24"/>
          <w:lang w:eastAsia="tr-TR"/>
        </w:rPr>
        <w:t xml:space="preserve"> tarihe kadar </w:t>
      </w:r>
      <w:r w:rsidR="000343F1">
        <w:rPr>
          <w:rFonts w:ascii="Times New Roman" w:eastAsia="Times New Roman" w:hAnsi="Times New Roman"/>
          <w:sz w:val="24"/>
          <w:szCs w:val="24"/>
          <w:lang w:eastAsia="tr-TR"/>
        </w:rPr>
        <w:t xml:space="preserve">Yönetmeliğin </w:t>
      </w:r>
      <w:r w:rsidR="005F51A9">
        <w:rPr>
          <w:rFonts w:ascii="Times New Roman" w:eastAsia="Times New Roman" w:hAnsi="Times New Roman"/>
          <w:sz w:val="24"/>
          <w:szCs w:val="24"/>
          <w:lang w:eastAsia="tr-TR"/>
        </w:rPr>
        <w:t xml:space="preserve">ekinde (Ek-3) </w:t>
      </w:r>
      <w:r w:rsidR="000343F1">
        <w:rPr>
          <w:rFonts w:ascii="Times New Roman" w:eastAsia="Times New Roman" w:hAnsi="Times New Roman"/>
          <w:sz w:val="24"/>
          <w:szCs w:val="24"/>
          <w:lang w:eastAsia="tr-TR"/>
        </w:rPr>
        <w:t>belirtilen</w:t>
      </w:r>
      <w:r w:rsidR="005F51A9">
        <w:rPr>
          <w:rFonts w:ascii="Times New Roman" w:eastAsia="Times New Roman" w:hAnsi="Times New Roman"/>
          <w:sz w:val="24"/>
          <w:szCs w:val="24"/>
          <w:lang w:eastAsia="tr-TR"/>
        </w:rPr>
        <w:t>,</w:t>
      </w:r>
      <w:r w:rsidR="000343F1">
        <w:rPr>
          <w:rFonts w:ascii="Times New Roman" w:eastAsia="Times New Roman" w:hAnsi="Times New Roman"/>
          <w:sz w:val="24"/>
          <w:szCs w:val="24"/>
          <w:lang w:eastAsia="tr-TR"/>
        </w:rPr>
        <w:t xml:space="preserve"> </w:t>
      </w:r>
      <w:r w:rsidR="005F51A9">
        <w:rPr>
          <w:rFonts w:ascii="Times New Roman" w:eastAsia="Times New Roman" w:hAnsi="Times New Roman"/>
          <w:sz w:val="24"/>
          <w:szCs w:val="24"/>
          <w:lang w:eastAsia="tr-TR"/>
        </w:rPr>
        <w:t xml:space="preserve">yönetim gider kesintisi ve giriş aidatının toplam tutarına ilişkin </w:t>
      </w:r>
      <w:r w:rsidR="00050AD6">
        <w:rPr>
          <w:rFonts w:ascii="Times New Roman" w:eastAsia="Times New Roman" w:hAnsi="Times New Roman"/>
          <w:sz w:val="24"/>
          <w:szCs w:val="24"/>
          <w:lang w:eastAsia="tr-TR"/>
        </w:rPr>
        <w:t xml:space="preserve">olarak </w:t>
      </w:r>
      <w:r w:rsidR="00E418DD">
        <w:rPr>
          <w:rFonts w:ascii="Times New Roman" w:eastAsia="Times New Roman" w:hAnsi="Times New Roman"/>
          <w:sz w:val="24"/>
          <w:szCs w:val="24"/>
          <w:lang w:eastAsia="tr-TR"/>
        </w:rPr>
        <w:t xml:space="preserve">yıllık </w:t>
      </w:r>
      <w:r w:rsidR="005F51A9">
        <w:rPr>
          <w:rFonts w:ascii="Times New Roman" w:eastAsia="Times New Roman" w:hAnsi="Times New Roman"/>
          <w:sz w:val="24"/>
          <w:szCs w:val="24"/>
          <w:lang w:eastAsia="tr-TR"/>
        </w:rPr>
        <w:t xml:space="preserve">üst sınırın </w:t>
      </w:r>
      <w:r>
        <w:rPr>
          <w:rFonts w:ascii="Times New Roman" w:eastAsia="Times New Roman" w:hAnsi="Times New Roman"/>
          <w:sz w:val="24"/>
          <w:szCs w:val="24"/>
          <w:lang w:eastAsia="tr-TR"/>
        </w:rPr>
        <w:t>üzerinde kes</w:t>
      </w:r>
      <w:r w:rsidR="006F06C8">
        <w:rPr>
          <w:rFonts w:ascii="Times New Roman" w:eastAsia="Times New Roman" w:hAnsi="Times New Roman"/>
          <w:sz w:val="24"/>
          <w:szCs w:val="24"/>
          <w:lang w:eastAsia="tr-TR"/>
        </w:rPr>
        <w:t>inti yapılmış olması durumunda</w:t>
      </w:r>
      <w:r w:rsidR="00E418DD">
        <w:rPr>
          <w:rFonts w:ascii="Times New Roman" w:eastAsia="Times New Roman" w:hAnsi="Times New Roman"/>
          <w:sz w:val="24"/>
          <w:szCs w:val="24"/>
          <w:lang w:eastAsia="tr-TR"/>
        </w:rPr>
        <w:t xml:space="preserve"> </w:t>
      </w:r>
      <w:r w:rsidR="00B5603E">
        <w:rPr>
          <w:rFonts w:ascii="Times New Roman" w:eastAsia="Times New Roman" w:hAnsi="Times New Roman"/>
          <w:sz w:val="24"/>
          <w:szCs w:val="24"/>
          <w:lang w:eastAsia="tr-TR"/>
        </w:rPr>
        <w:t xml:space="preserve">01.01.2016 tarihini takip eden </w:t>
      </w:r>
      <w:r w:rsidR="00E418DD">
        <w:rPr>
          <w:rFonts w:ascii="Times New Roman" w:eastAsia="Times New Roman" w:hAnsi="Times New Roman"/>
          <w:sz w:val="24"/>
          <w:szCs w:val="24"/>
          <w:lang w:eastAsia="tr-TR"/>
        </w:rPr>
        <w:t>sözleşme yıldönümüne kadar</w:t>
      </w:r>
      <w:r w:rsidR="004520B4" w:rsidRPr="004520B4">
        <w:rPr>
          <w:rFonts w:ascii="Times New Roman" w:eastAsia="Times New Roman" w:hAnsi="Times New Roman"/>
          <w:sz w:val="24"/>
          <w:szCs w:val="24"/>
          <w:lang w:eastAsia="tr-TR"/>
        </w:rPr>
        <w:t xml:space="preserve"> </w:t>
      </w:r>
      <w:r w:rsidR="004520B4">
        <w:rPr>
          <w:rFonts w:ascii="Times New Roman" w:eastAsia="Times New Roman" w:hAnsi="Times New Roman"/>
          <w:sz w:val="24"/>
          <w:szCs w:val="24"/>
          <w:lang w:eastAsia="tr-TR"/>
        </w:rPr>
        <w:t>yönetim gider kesintisi ve giriş aidatı adı altında ayrıca bir kesinti yapılamaz.</w:t>
      </w:r>
      <w:r w:rsidR="00FE458E">
        <w:rPr>
          <w:rFonts w:ascii="Times New Roman" w:eastAsia="Times New Roman" w:hAnsi="Times New Roman"/>
          <w:sz w:val="24"/>
          <w:szCs w:val="24"/>
          <w:lang w:eastAsia="tr-TR"/>
        </w:rPr>
        <w:t xml:space="preserve"> </w:t>
      </w:r>
      <w:proofErr w:type="gramEnd"/>
      <w:r w:rsidR="004520B4">
        <w:rPr>
          <w:rFonts w:ascii="Times New Roman" w:eastAsia="Times New Roman" w:hAnsi="Times New Roman"/>
          <w:sz w:val="24"/>
          <w:szCs w:val="24"/>
          <w:lang w:eastAsia="tr-TR"/>
        </w:rPr>
        <w:t>Bu durumdaki sözleşmeler için b</w:t>
      </w:r>
      <w:r w:rsidR="00B5603E">
        <w:rPr>
          <w:rFonts w:ascii="Times New Roman" w:eastAsia="Times New Roman" w:hAnsi="Times New Roman"/>
          <w:sz w:val="24"/>
          <w:szCs w:val="24"/>
          <w:lang w:eastAsia="tr-TR"/>
        </w:rPr>
        <w:t xml:space="preserve">eş yıllık üst sınırın üzerinde kesinti yapılmış olması halinde ise </w:t>
      </w:r>
      <w:r w:rsidR="001C38DA">
        <w:rPr>
          <w:rFonts w:ascii="Times New Roman" w:eastAsia="Times New Roman" w:hAnsi="Times New Roman"/>
          <w:sz w:val="24"/>
          <w:szCs w:val="24"/>
          <w:lang w:eastAsia="tr-TR"/>
        </w:rPr>
        <w:t xml:space="preserve">01.01.2016 tarihinden sonra </w:t>
      </w:r>
      <w:r w:rsidR="004520B4">
        <w:rPr>
          <w:rFonts w:ascii="Times New Roman" w:eastAsia="Times New Roman" w:hAnsi="Times New Roman"/>
          <w:sz w:val="24"/>
          <w:szCs w:val="24"/>
          <w:lang w:eastAsia="tr-TR"/>
        </w:rPr>
        <w:t>yönetim gider kesintisi ve giriş aidatı adı altında ayrıca bir kesinti yapılamaz.</w:t>
      </w:r>
      <w:r w:rsidR="004520B4" w:rsidDel="004520B4">
        <w:rPr>
          <w:rFonts w:ascii="Times New Roman" w:eastAsia="Times New Roman" w:hAnsi="Times New Roman"/>
          <w:sz w:val="24"/>
          <w:szCs w:val="24"/>
          <w:lang w:eastAsia="tr-TR"/>
        </w:rPr>
        <w:t xml:space="preserve"> </w:t>
      </w:r>
    </w:p>
    <w:p w:rsidR="004520B4" w:rsidRDefault="004520B4" w:rsidP="003F47F9">
      <w:pPr>
        <w:pStyle w:val="ListeParagraf"/>
        <w:rPr>
          <w:rFonts w:ascii="Times New Roman" w:eastAsia="Times New Roman" w:hAnsi="Times New Roman"/>
          <w:sz w:val="24"/>
          <w:szCs w:val="24"/>
          <w:lang w:eastAsia="tr-TR"/>
        </w:rPr>
      </w:pPr>
    </w:p>
    <w:p w:rsidR="007B4608" w:rsidRDefault="00B5603E" w:rsidP="004520B4">
      <w:pPr>
        <w:pStyle w:val="ListeParagraf"/>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Diğer taraftan, asgari brüt ücret tutarındaki artışlardan dolayı, üst sınırda da bir artış olacaktır. Bu çerçevede, ilgili sözleşme dönemleri için yapılmış bulunan kesinti tutarı ile yenilenen üst sınır tutarı arasındaki farkın</w:t>
      </w:r>
      <w:r w:rsidR="000E0559">
        <w:rPr>
          <w:rFonts w:ascii="Times New Roman" w:eastAsia="Times New Roman" w:hAnsi="Times New Roman"/>
          <w:sz w:val="24"/>
          <w:szCs w:val="24"/>
          <w:lang w:eastAsia="tr-TR"/>
        </w:rPr>
        <w:t xml:space="preserve"> kesinti olarak </w:t>
      </w:r>
      <w:r w:rsidR="00DD3B3C">
        <w:rPr>
          <w:rFonts w:ascii="Times New Roman" w:eastAsia="Times New Roman" w:hAnsi="Times New Roman"/>
          <w:sz w:val="24"/>
          <w:szCs w:val="24"/>
          <w:lang w:eastAsia="tr-TR"/>
        </w:rPr>
        <w:t xml:space="preserve">katılımcının birikiminden </w:t>
      </w:r>
      <w:r w:rsidR="0030012F">
        <w:rPr>
          <w:rFonts w:ascii="Times New Roman" w:eastAsia="Times New Roman" w:hAnsi="Times New Roman"/>
          <w:sz w:val="24"/>
          <w:szCs w:val="24"/>
          <w:lang w:eastAsia="tr-TR"/>
        </w:rPr>
        <w:t>indirilmesi</w:t>
      </w:r>
      <w:r w:rsidR="000E0559">
        <w:rPr>
          <w:rFonts w:ascii="Times New Roman" w:eastAsia="Times New Roman" w:hAnsi="Times New Roman"/>
          <w:sz w:val="24"/>
          <w:szCs w:val="24"/>
          <w:lang w:eastAsia="tr-TR"/>
        </w:rPr>
        <w:t xml:space="preserve"> </w:t>
      </w:r>
      <w:r w:rsidR="00AB7E83">
        <w:rPr>
          <w:rFonts w:ascii="Times New Roman" w:eastAsia="Times New Roman" w:hAnsi="Times New Roman"/>
          <w:sz w:val="24"/>
          <w:szCs w:val="24"/>
          <w:lang w:eastAsia="tr-TR"/>
        </w:rPr>
        <w:t xml:space="preserve">veya ayrıca tahsili </w:t>
      </w:r>
      <w:r w:rsidR="000E0559">
        <w:rPr>
          <w:rFonts w:ascii="Times New Roman" w:eastAsia="Times New Roman" w:hAnsi="Times New Roman"/>
          <w:sz w:val="24"/>
          <w:szCs w:val="24"/>
          <w:lang w:eastAsia="tr-TR"/>
        </w:rPr>
        <w:t>mümkündür.</w:t>
      </w:r>
    </w:p>
    <w:p w:rsidR="00B953E8" w:rsidRDefault="00B953E8" w:rsidP="004520B4">
      <w:pPr>
        <w:pStyle w:val="ListeParagraf"/>
        <w:tabs>
          <w:tab w:val="left" w:pos="709"/>
        </w:tabs>
        <w:spacing w:after="0" w:line="240" w:lineRule="auto"/>
        <w:jc w:val="both"/>
        <w:rPr>
          <w:rFonts w:ascii="Times New Roman" w:eastAsia="Times New Roman" w:hAnsi="Times New Roman"/>
          <w:sz w:val="24"/>
          <w:szCs w:val="24"/>
          <w:lang w:eastAsia="tr-TR"/>
        </w:rPr>
      </w:pPr>
    </w:p>
    <w:p w:rsidR="009F3D80" w:rsidRDefault="009F3D80" w:rsidP="009F3D80">
      <w:pPr>
        <w:pStyle w:val="ListeParagraf"/>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Örnek 1:</w:t>
      </w:r>
    </w:p>
    <w:p w:rsidR="009F3D80" w:rsidRDefault="009F3D80" w:rsidP="009F3D80">
      <w:pPr>
        <w:pStyle w:val="ListeParagraf"/>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Örneğin,</w:t>
      </w:r>
      <w:r w:rsidRPr="00CB5CD7">
        <w:t xml:space="preserve"> </w:t>
      </w:r>
      <w:r>
        <w:rPr>
          <w:rFonts w:ascii="Times New Roman" w:eastAsia="Times New Roman" w:hAnsi="Times New Roman"/>
          <w:sz w:val="24"/>
          <w:szCs w:val="24"/>
          <w:lang w:eastAsia="tr-TR"/>
        </w:rPr>
        <w:t>01.06.2014</w:t>
      </w:r>
      <w:r w:rsidRPr="00CB5CD7">
        <w:rPr>
          <w:rFonts w:ascii="Times New Roman" w:eastAsia="Times New Roman" w:hAnsi="Times New Roman"/>
          <w:sz w:val="24"/>
          <w:szCs w:val="24"/>
          <w:lang w:eastAsia="tr-TR"/>
        </w:rPr>
        <w:t xml:space="preserve"> tarihinde yürürlüğe girmiş bir sözleşme için</w:t>
      </w:r>
      <w:r>
        <w:rPr>
          <w:rFonts w:ascii="Times New Roman" w:eastAsia="Times New Roman" w:hAnsi="Times New Roman"/>
          <w:sz w:val="24"/>
          <w:szCs w:val="24"/>
          <w:lang w:eastAsia="tr-TR"/>
        </w:rPr>
        <w:t xml:space="preserve"> 01.06.2014 – 01.06.2015 </w:t>
      </w:r>
      <w:r w:rsidR="00E6744E">
        <w:rPr>
          <w:rFonts w:ascii="Times New Roman" w:eastAsia="Times New Roman" w:hAnsi="Times New Roman"/>
          <w:sz w:val="24"/>
          <w:szCs w:val="24"/>
          <w:lang w:eastAsia="tr-TR"/>
        </w:rPr>
        <w:t xml:space="preserve">tarihleri </w:t>
      </w:r>
      <w:r>
        <w:rPr>
          <w:rFonts w:ascii="Times New Roman" w:eastAsia="Times New Roman" w:hAnsi="Times New Roman"/>
          <w:sz w:val="24"/>
          <w:szCs w:val="24"/>
          <w:lang w:eastAsia="tr-TR"/>
        </w:rPr>
        <w:t xml:space="preserve">arasında 500 TL kesinti yapılmış, 01.06.2015-31.12.2015 </w:t>
      </w:r>
      <w:r w:rsidR="00E6744E">
        <w:rPr>
          <w:rFonts w:ascii="Times New Roman" w:eastAsia="Times New Roman" w:hAnsi="Times New Roman"/>
          <w:sz w:val="24"/>
          <w:szCs w:val="24"/>
          <w:lang w:eastAsia="tr-TR"/>
        </w:rPr>
        <w:t>tarihleri aras</w:t>
      </w:r>
      <w:r>
        <w:rPr>
          <w:rFonts w:ascii="Times New Roman" w:eastAsia="Times New Roman" w:hAnsi="Times New Roman"/>
          <w:sz w:val="24"/>
          <w:szCs w:val="24"/>
          <w:lang w:eastAsia="tr-TR"/>
        </w:rPr>
        <w:t>ında 100 TL kesinti yapılmıştır.</w:t>
      </w:r>
      <w:r w:rsidRPr="00CB5CD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2016 yılının ilk altı aylık döneminde ise brüt asgari ücretin %8,5’ine denk gelen tutarın 105 TL olduğu varsayımı altında, kesinti üst sınırında meydana gelen 5 TL’lik bu artış tutarı, yine 01.06.2016 tarihine kadar birikim tutarından ayrıca kesilebilecektir. </w:t>
      </w:r>
    </w:p>
    <w:p w:rsidR="009F3D80" w:rsidRDefault="009F3D80" w:rsidP="009F3D80">
      <w:pPr>
        <w:pStyle w:val="ListeParagraf"/>
        <w:tabs>
          <w:tab w:val="left" w:pos="709"/>
        </w:tabs>
        <w:spacing w:after="0" w:line="240" w:lineRule="auto"/>
        <w:jc w:val="both"/>
        <w:rPr>
          <w:rFonts w:ascii="Times New Roman" w:eastAsia="Times New Roman" w:hAnsi="Times New Roman"/>
          <w:sz w:val="24"/>
          <w:szCs w:val="24"/>
          <w:lang w:eastAsia="tr-TR"/>
        </w:rPr>
      </w:pPr>
    </w:p>
    <w:p w:rsidR="009F3D80" w:rsidRDefault="009F3D80" w:rsidP="009F3D80">
      <w:pPr>
        <w:pStyle w:val="ListeParagraf"/>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Örnek 2: </w:t>
      </w:r>
    </w:p>
    <w:p w:rsidR="009F3D80" w:rsidRDefault="009E5402" w:rsidP="009F3D80">
      <w:pPr>
        <w:pStyle w:val="ListeParagraf"/>
        <w:tabs>
          <w:tab w:val="left" w:pos="709"/>
        </w:tabs>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Ö</w:t>
      </w:r>
      <w:r w:rsidR="009F3D80">
        <w:rPr>
          <w:rFonts w:ascii="Times New Roman" w:eastAsia="Times New Roman" w:hAnsi="Times New Roman"/>
          <w:sz w:val="24"/>
          <w:szCs w:val="24"/>
          <w:lang w:eastAsia="tr-TR"/>
        </w:rPr>
        <w:t xml:space="preserve">rnek 1’de </w:t>
      </w:r>
      <w:r>
        <w:rPr>
          <w:rFonts w:ascii="Times New Roman" w:eastAsia="Times New Roman" w:hAnsi="Times New Roman"/>
          <w:sz w:val="24"/>
          <w:szCs w:val="24"/>
          <w:lang w:eastAsia="tr-TR"/>
        </w:rPr>
        <w:t>belirtilen</w:t>
      </w:r>
      <w:r w:rsidR="009F3D80">
        <w:rPr>
          <w:rFonts w:ascii="Times New Roman" w:eastAsia="Times New Roman" w:hAnsi="Times New Roman"/>
          <w:sz w:val="24"/>
          <w:szCs w:val="24"/>
          <w:lang w:eastAsia="tr-TR"/>
        </w:rPr>
        <w:t xml:space="preserve">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w:t>
      </w:r>
      <w:r w:rsidR="009F3D80">
        <w:rPr>
          <w:rFonts w:ascii="Times New Roman" w:eastAsia="Times New Roman" w:hAnsi="Times New Roman"/>
          <w:sz w:val="24"/>
          <w:szCs w:val="24"/>
          <w:lang w:eastAsia="tr-TR"/>
        </w:rPr>
        <w:lastRenderedPageBreak/>
        <w:t xml:space="preserve">yönetim gider kesintisi ve/veya giriş aidatı kesintisi yapılamayacaktır. </w:t>
      </w:r>
      <w:proofErr w:type="gramEnd"/>
      <w:r w:rsidR="009F3D80">
        <w:rPr>
          <w:rFonts w:ascii="Times New Roman" w:eastAsia="Times New Roman" w:hAnsi="Times New Roman"/>
          <w:sz w:val="24"/>
          <w:szCs w:val="24"/>
          <w:lang w:eastAsia="tr-TR"/>
        </w:rPr>
        <w:t>Bununla birlikte, anılan kesintinin (106 TL) 01.01.2016 tarihi öncesinde</w:t>
      </w:r>
      <w:r w:rsidR="00B506F9">
        <w:rPr>
          <w:rFonts w:ascii="Times New Roman" w:eastAsia="Times New Roman" w:hAnsi="Times New Roman"/>
          <w:sz w:val="24"/>
          <w:szCs w:val="24"/>
          <w:lang w:eastAsia="tr-TR"/>
        </w:rPr>
        <w:t xml:space="preserve">, </w:t>
      </w:r>
      <w:r w:rsidR="00B506F9" w:rsidRPr="00C138F4">
        <w:rPr>
          <w:rFonts w:ascii="Times New Roman" w:eastAsia="Times New Roman" w:hAnsi="Times New Roman"/>
          <w:sz w:val="24"/>
          <w:szCs w:val="24"/>
          <w:lang w:eastAsia="tr-TR"/>
        </w:rPr>
        <w:t>Yönetmelik henüz yürürlüğe girmeden</w:t>
      </w:r>
      <w:r w:rsidR="009F3D80">
        <w:rPr>
          <w:rFonts w:ascii="Times New Roman" w:eastAsia="Times New Roman" w:hAnsi="Times New Roman"/>
          <w:sz w:val="24"/>
          <w:szCs w:val="24"/>
          <w:lang w:eastAsia="tr-TR"/>
        </w:rPr>
        <w:t xml:space="preserve"> yapılmış olması sebebiyle katılımcı hesaplarına bir iade</w:t>
      </w:r>
      <w:r w:rsidR="00810A28">
        <w:rPr>
          <w:rFonts w:ascii="Times New Roman" w:eastAsia="Times New Roman" w:hAnsi="Times New Roman"/>
          <w:sz w:val="24"/>
          <w:szCs w:val="24"/>
          <w:lang w:eastAsia="tr-TR"/>
        </w:rPr>
        <w:t xml:space="preserve"> </w:t>
      </w:r>
      <w:r w:rsidR="009F3D80">
        <w:rPr>
          <w:rFonts w:ascii="Times New Roman" w:eastAsia="Times New Roman" w:hAnsi="Times New Roman"/>
          <w:sz w:val="24"/>
          <w:szCs w:val="24"/>
          <w:lang w:eastAsia="tr-TR"/>
        </w:rPr>
        <w:t>yapılmayacaktır.</w:t>
      </w:r>
    </w:p>
    <w:p w:rsidR="00A853AE"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F52619" w:rsidRDefault="001314FC" w:rsidP="00F52619">
      <w:pPr>
        <w:pStyle w:val="ListeParagraf"/>
        <w:numPr>
          <w:ilvl w:val="0"/>
          <w:numId w:val="31"/>
        </w:numPr>
        <w:tabs>
          <w:tab w:val="left" w:pos="709"/>
        </w:tabs>
        <w:spacing w:after="0" w:line="240" w:lineRule="auto"/>
        <w:jc w:val="both"/>
        <w:rPr>
          <w:rFonts w:ascii="Times New Roman" w:eastAsia="ヒラギノ明朝 Pro W3" w:hAnsi="Times New Roman"/>
          <w:sz w:val="24"/>
          <w:szCs w:val="24"/>
          <w:lang w:eastAsia="tr-TR"/>
        </w:rPr>
      </w:pPr>
      <w:r>
        <w:rPr>
          <w:rFonts w:ascii="Times New Roman" w:eastAsia="Times New Roman" w:hAnsi="Times New Roman"/>
          <w:sz w:val="24"/>
          <w:szCs w:val="24"/>
          <w:lang w:eastAsia="tr-TR"/>
        </w:rPr>
        <w:t xml:space="preserve">Bir </w:t>
      </w:r>
      <w:r w:rsidR="00761A73">
        <w:rPr>
          <w:rFonts w:ascii="Times New Roman" w:eastAsia="Times New Roman" w:hAnsi="Times New Roman"/>
          <w:sz w:val="24"/>
          <w:szCs w:val="24"/>
          <w:lang w:eastAsia="tr-TR"/>
        </w:rPr>
        <w:t xml:space="preserve">sözleşmenin </w:t>
      </w:r>
      <w:r w:rsidR="00086AD8">
        <w:rPr>
          <w:rFonts w:ascii="Times New Roman" w:eastAsia="Times New Roman" w:hAnsi="Times New Roman"/>
          <w:sz w:val="24"/>
          <w:szCs w:val="24"/>
          <w:lang w:eastAsia="tr-TR"/>
        </w:rPr>
        <w:t>5</w:t>
      </w:r>
      <w:r w:rsidR="00B7497B">
        <w:rPr>
          <w:rFonts w:ascii="Times New Roman" w:eastAsia="Times New Roman" w:hAnsi="Times New Roman"/>
          <w:sz w:val="24"/>
          <w:szCs w:val="24"/>
          <w:lang w:eastAsia="tr-TR"/>
        </w:rPr>
        <w:t xml:space="preserve"> inci</w:t>
      </w:r>
      <w:r w:rsidR="00086AD8">
        <w:rPr>
          <w:rFonts w:ascii="Times New Roman" w:eastAsia="Times New Roman" w:hAnsi="Times New Roman"/>
          <w:sz w:val="24"/>
          <w:szCs w:val="24"/>
          <w:lang w:eastAsia="tr-TR"/>
        </w:rPr>
        <w:t xml:space="preserve"> yılı </w:t>
      </w:r>
      <w:r w:rsidR="008A7A60">
        <w:rPr>
          <w:rFonts w:ascii="Times New Roman" w:eastAsia="Times New Roman" w:hAnsi="Times New Roman"/>
          <w:sz w:val="24"/>
          <w:szCs w:val="24"/>
          <w:lang w:eastAsia="tr-TR"/>
        </w:rPr>
        <w:t>tamamlandıktan sonra</w:t>
      </w:r>
      <w:r w:rsidR="000F0AE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ilgili</w:t>
      </w:r>
      <w:r w:rsidR="00086AD8">
        <w:rPr>
          <w:rFonts w:ascii="Times New Roman" w:eastAsia="Times New Roman" w:hAnsi="Times New Roman"/>
          <w:sz w:val="24"/>
          <w:szCs w:val="24"/>
          <w:lang w:eastAsia="tr-TR"/>
        </w:rPr>
        <w:t xml:space="preserve"> sözleşme kapsamında </w:t>
      </w:r>
      <w:r w:rsidR="00305661">
        <w:rPr>
          <w:rFonts w:ascii="Times New Roman" w:eastAsia="Times New Roman" w:hAnsi="Times New Roman"/>
          <w:sz w:val="24"/>
          <w:szCs w:val="24"/>
          <w:lang w:eastAsia="tr-TR"/>
        </w:rPr>
        <w:t xml:space="preserve">ara verme kesintisi </w:t>
      </w:r>
      <w:proofErr w:type="gramStart"/>
      <w:r w:rsidR="00305661">
        <w:rPr>
          <w:rFonts w:ascii="Times New Roman" w:eastAsia="Times New Roman" w:hAnsi="Times New Roman"/>
          <w:sz w:val="24"/>
          <w:szCs w:val="24"/>
          <w:lang w:eastAsia="tr-TR"/>
        </w:rPr>
        <w:t>dahil</w:t>
      </w:r>
      <w:proofErr w:type="gramEnd"/>
      <w:r w:rsidR="0030566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yönetim gider kesintisi</w:t>
      </w:r>
      <w:r w:rsidR="001A0D2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yapılamaz ve giriş aidatı tahsil edilemez.</w:t>
      </w:r>
      <w:r w:rsidR="0038097F">
        <w:rPr>
          <w:rFonts w:ascii="Times New Roman" w:eastAsia="Times New Roman" w:hAnsi="Times New Roman"/>
          <w:sz w:val="24"/>
          <w:szCs w:val="24"/>
          <w:lang w:eastAsia="tr-TR"/>
        </w:rPr>
        <w:t xml:space="preserve"> </w:t>
      </w:r>
      <w:r w:rsidR="005C3ADD" w:rsidRPr="00297E66">
        <w:rPr>
          <w:rFonts w:ascii="Times New Roman" w:eastAsia="Times New Roman" w:hAnsi="Times New Roman"/>
          <w:sz w:val="24"/>
          <w:szCs w:val="24"/>
          <w:lang w:eastAsia="tr-TR"/>
        </w:rPr>
        <w:t>Yönetmeliğin, yürürlüğe girdiği tarihten önce tahakkuk etmiş şirket alacakların</w:t>
      </w:r>
      <w:r w:rsidR="005B5878" w:rsidRPr="00297E66">
        <w:rPr>
          <w:rFonts w:ascii="Times New Roman" w:eastAsia="Times New Roman" w:hAnsi="Times New Roman"/>
          <w:sz w:val="24"/>
          <w:szCs w:val="24"/>
          <w:lang w:eastAsia="tr-TR"/>
        </w:rPr>
        <w:t>ı</w:t>
      </w:r>
      <w:r w:rsidR="005C3ADD" w:rsidRPr="00297E66">
        <w:rPr>
          <w:rFonts w:ascii="Times New Roman" w:eastAsia="Times New Roman" w:hAnsi="Times New Roman"/>
          <w:sz w:val="24"/>
          <w:szCs w:val="24"/>
          <w:lang w:eastAsia="tr-TR"/>
        </w:rPr>
        <w:t xml:space="preserve"> </w:t>
      </w:r>
      <w:r w:rsidR="005B5878" w:rsidRPr="00297E66">
        <w:rPr>
          <w:rFonts w:ascii="Times New Roman" w:eastAsia="Times New Roman" w:hAnsi="Times New Roman"/>
          <w:sz w:val="24"/>
          <w:szCs w:val="24"/>
          <w:lang w:eastAsia="tr-TR"/>
        </w:rPr>
        <w:t>etkilemediğinden</w:t>
      </w:r>
      <w:r w:rsidR="005C3ADD">
        <w:rPr>
          <w:rFonts w:ascii="Times New Roman" w:eastAsia="Times New Roman" w:hAnsi="Times New Roman"/>
          <w:sz w:val="24"/>
          <w:szCs w:val="24"/>
          <w:lang w:eastAsia="tr-TR"/>
        </w:rPr>
        <w:t xml:space="preserve"> </w:t>
      </w:r>
      <w:r w:rsidR="005C3ADD">
        <w:rPr>
          <w:rFonts w:ascii="Times New Roman" w:eastAsia="ヒラギノ明朝 Pro W3" w:hAnsi="Times New Roman"/>
          <w:sz w:val="24"/>
          <w:szCs w:val="24"/>
          <w:lang w:eastAsia="tr-TR"/>
        </w:rPr>
        <w:t>ş</w:t>
      </w:r>
      <w:r w:rsidR="004056AC">
        <w:rPr>
          <w:rFonts w:ascii="Times New Roman" w:eastAsia="ヒラギノ明朝 Pro W3" w:hAnsi="Times New Roman"/>
          <w:sz w:val="24"/>
          <w:szCs w:val="24"/>
          <w:lang w:eastAsia="tr-TR"/>
        </w:rPr>
        <w:t xml:space="preserve">irketin, 01.01.2016 öncesinde yer alan tahakkuk edilmiş ancak tahsil edilmemiş alacaklarına ilişkin hakları saklıdır. </w:t>
      </w:r>
      <w:r w:rsidR="00B71193">
        <w:rPr>
          <w:rFonts w:ascii="Times New Roman" w:eastAsia="Times New Roman" w:hAnsi="Times New Roman"/>
          <w:sz w:val="24"/>
          <w:szCs w:val="24"/>
          <w:lang w:eastAsia="tr-TR"/>
        </w:rPr>
        <w:t xml:space="preserve">01.01.2016 tarihinden sonra </w:t>
      </w:r>
      <w:r w:rsidR="00B71193">
        <w:rPr>
          <w:rFonts w:ascii="Times New Roman" w:eastAsia="ヒラギノ明朝 Pro W3" w:hAnsi="Times New Roman"/>
          <w:sz w:val="24"/>
          <w:szCs w:val="24"/>
          <w:lang w:eastAsia="tr-TR"/>
        </w:rPr>
        <w:t>b</w:t>
      </w:r>
      <w:r w:rsidR="0038097F">
        <w:rPr>
          <w:rFonts w:ascii="Times New Roman" w:eastAsia="ヒラギノ明朝 Pro W3" w:hAnsi="Times New Roman"/>
          <w:sz w:val="24"/>
          <w:szCs w:val="24"/>
          <w:lang w:eastAsia="tr-TR"/>
        </w:rPr>
        <w:t>aşka bir şirketten aktarım yoluyla düzenlenen sözleşmeler için</w:t>
      </w:r>
      <w:r w:rsidR="00AB7E83">
        <w:rPr>
          <w:rFonts w:ascii="Times New Roman" w:eastAsia="ヒラギノ明朝 Pro W3" w:hAnsi="Times New Roman"/>
          <w:sz w:val="24"/>
          <w:szCs w:val="24"/>
          <w:lang w:eastAsia="tr-TR"/>
        </w:rPr>
        <w:t xml:space="preserve"> sözleşme süresinin hesabında,</w:t>
      </w:r>
      <w:r w:rsidR="0038097F">
        <w:rPr>
          <w:rFonts w:ascii="Times New Roman" w:eastAsia="ヒラギノ明朝 Pro W3" w:hAnsi="Times New Roman"/>
          <w:sz w:val="24"/>
          <w:szCs w:val="24"/>
          <w:lang w:eastAsia="tr-TR"/>
        </w:rPr>
        <w:t xml:space="preserve"> </w:t>
      </w:r>
      <w:r w:rsidR="00AB7E83">
        <w:rPr>
          <w:rFonts w:ascii="Times New Roman" w:eastAsia="ヒラギノ明朝 Pro W3" w:hAnsi="Times New Roman"/>
          <w:sz w:val="24"/>
          <w:szCs w:val="24"/>
          <w:lang w:eastAsia="tr-TR"/>
        </w:rPr>
        <w:t xml:space="preserve">ilgili aktarıma/aktarımlara konu sözleşmelerde </w:t>
      </w:r>
      <w:r w:rsidR="0038097F">
        <w:rPr>
          <w:rFonts w:ascii="Times New Roman" w:eastAsia="ヒラギノ明朝 Pro W3" w:hAnsi="Times New Roman"/>
          <w:sz w:val="24"/>
          <w:szCs w:val="24"/>
          <w:lang w:eastAsia="tr-TR"/>
        </w:rPr>
        <w:t>önceki şirketlerde geçirilen süreler de dikkate alınır.</w:t>
      </w:r>
      <w:r w:rsidR="00F52619" w:rsidRPr="00F52619">
        <w:rPr>
          <w:rFonts w:ascii="Times New Roman" w:eastAsia="ヒラギノ明朝 Pro W3" w:hAnsi="Times New Roman"/>
          <w:sz w:val="24"/>
          <w:szCs w:val="24"/>
          <w:lang w:eastAsia="tr-TR"/>
        </w:rPr>
        <w:t xml:space="preserve"> </w:t>
      </w:r>
      <w:r w:rsidR="00F52619">
        <w:rPr>
          <w:rFonts w:ascii="Times New Roman" w:eastAsia="ヒラギノ明朝 Pro W3" w:hAnsi="Times New Roman"/>
          <w:sz w:val="24"/>
          <w:szCs w:val="24"/>
          <w:lang w:eastAsia="tr-TR"/>
        </w:rPr>
        <w:t xml:space="preserve">Bu kapsamda, söz konusu </w:t>
      </w:r>
      <w:r w:rsidR="00F52619">
        <w:rPr>
          <w:rFonts w:ascii="Times New Roman" w:eastAsia="Times New Roman" w:hAnsi="Times New Roman"/>
          <w:sz w:val="24"/>
          <w:szCs w:val="24"/>
          <w:lang w:eastAsia="tr-TR"/>
        </w:rPr>
        <w:t>kontrollere ilişkin süre hesabında,</w:t>
      </w:r>
      <w:r w:rsidR="00F52619">
        <w:rPr>
          <w:rFonts w:ascii="Times New Roman" w:eastAsia="ヒラギノ明朝 Pro W3" w:hAnsi="Times New Roman"/>
          <w:sz w:val="24"/>
          <w:szCs w:val="24"/>
          <w:lang w:eastAsia="tr-TR"/>
        </w:rPr>
        <w:t xml:space="preserve"> 01.01.2016 tarihinden önce gerçekleşen aktarımlar için, önceki şirketlerde aktarıma/aktarımlara konu sözleşmelerde geçirilen süreler dikkate alınmaz.</w:t>
      </w:r>
      <w:r w:rsidR="00D16B76">
        <w:rPr>
          <w:rFonts w:ascii="Times New Roman" w:eastAsia="ヒラギノ明朝 Pro W3" w:hAnsi="Times New Roman"/>
          <w:sz w:val="24"/>
          <w:szCs w:val="24"/>
          <w:lang w:eastAsia="tr-TR"/>
        </w:rPr>
        <w:t xml:space="preserve"> </w:t>
      </w:r>
    </w:p>
    <w:p w:rsidR="00A853AE"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EE778E" w:rsidRDefault="00EE778E" w:rsidP="00E74993">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0</w:t>
      </w:r>
      <w:r w:rsidRPr="00EE778E">
        <w:rPr>
          <w:rFonts w:ascii="Times New Roman" w:eastAsia="Times New Roman" w:hAnsi="Times New Roman"/>
          <w:sz w:val="24"/>
          <w:szCs w:val="24"/>
          <w:lang w:eastAsia="tr-TR"/>
        </w:rPr>
        <w:t>1</w:t>
      </w:r>
      <w:r>
        <w:rPr>
          <w:rFonts w:ascii="Times New Roman" w:eastAsia="Times New Roman" w:hAnsi="Times New Roman"/>
          <w:sz w:val="24"/>
          <w:szCs w:val="24"/>
          <w:lang w:eastAsia="tr-TR"/>
        </w:rPr>
        <w:t>.01.</w:t>
      </w:r>
      <w:r w:rsidRPr="00EE778E">
        <w:rPr>
          <w:rFonts w:ascii="Times New Roman" w:eastAsia="Times New Roman" w:hAnsi="Times New Roman"/>
          <w:sz w:val="24"/>
          <w:szCs w:val="24"/>
          <w:lang w:eastAsia="tr-TR"/>
        </w:rPr>
        <w:t xml:space="preserve">2016 tarihinden önce yürürlüğe girmiş olan ve bu tarih itibarıyla halen yürürlükte bulunan sözleşmelerde yer alan giriş aidatına ilişkin hükümler, </w:t>
      </w:r>
      <w:r w:rsidR="00C32C35">
        <w:rPr>
          <w:rFonts w:ascii="Times New Roman" w:eastAsia="Times New Roman" w:hAnsi="Times New Roman"/>
          <w:sz w:val="24"/>
          <w:szCs w:val="24"/>
          <w:lang w:eastAsia="tr-TR"/>
        </w:rPr>
        <w:t>Yönetmeliğin ekinde (Ek-3)</w:t>
      </w:r>
      <w:r w:rsidRPr="00EE778E">
        <w:rPr>
          <w:rFonts w:ascii="Times New Roman" w:eastAsia="Times New Roman" w:hAnsi="Times New Roman"/>
          <w:sz w:val="24"/>
          <w:szCs w:val="24"/>
          <w:lang w:eastAsia="tr-TR"/>
        </w:rPr>
        <w:t xml:space="preserve"> </w:t>
      </w:r>
      <w:r w:rsidR="00C32C35">
        <w:rPr>
          <w:rFonts w:ascii="Times New Roman" w:eastAsia="Times New Roman" w:hAnsi="Times New Roman"/>
          <w:sz w:val="24"/>
          <w:szCs w:val="24"/>
          <w:lang w:eastAsia="tr-TR"/>
        </w:rPr>
        <w:t xml:space="preserve">yer alan </w:t>
      </w:r>
      <w:r w:rsidRPr="00EE778E">
        <w:rPr>
          <w:rFonts w:ascii="Times New Roman" w:eastAsia="Times New Roman" w:hAnsi="Times New Roman"/>
          <w:sz w:val="24"/>
          <w:szCs w:val="24"/>
          <w:lang w:eastAsia="tr-TR"/>
        </w:rPr>
        <w:t>tabloda yer alan ertelenmiş giriş aidatına ilişkin tutar ile sınırlı olmak kaydıyla sözleşme sona erene kadar geçerliliğini korur.</w:t>
      </w:r>
      <w:r w:rsidR="00C32C35">
        <w:rPr>
          <w:rFonts w:ascii="Times New Roman" w:eastAsia="Times New Roman" w:hAnsi="Times New Roman"/>
          <w:sz w:val="24"/>
          <w:szCs w:val="24"/>
          <w:lang w:eastAsia="tr-TR"/>
        </w:rPr>
        <w:t xml:space="preserve"> </w:t>
      </w:r>
      <w:r w:rsidR="00A93E80">
        <w:rPr>
          <w:rFonts w:ascii="Times New Roman" w:eastAsia="Times New Roman" w:hAnsi="Times New Roman"/>
          <w:sz w:val="24"/>
          <w:szCs w:val="24"/>
          <w:lang w:eastAsia="tr-TR"/>
        </w:rPr>
        <w:t xml:space="preserve">Ancak burada uygulanan ertelenmiş giriş aidatı Yönetmeliğin ekinde </w:t>
      </w:r>
      <w:r w:rsidR="001B528B">
        <w:rPr>
          <w:rFonts w:ascii="Times New Roman" w:eastAsia="Times New Roman" w:hAnsi="Times New Roman"/>
          <w:sz w:val="24"/>
          <w:szCs w:val="24"/>
          <w:lang w:eastAsia="tr-TR"/>
        </w:rPr>
        <w:t>(Ek</w:t>
      </w:r>
      <w:r w:rsidR="00A93E80">
        <w:rPr>
          <w:rFonts w:ascii="Times New Roman" w:eastAsia="Times New Roman" w:hAnsi="Times New Roman"/>
          <w:sz w:val="24"/>
          <w:szCs w:val="24"/>
          <w:lang w:eastAsia="tr-TR"/>
        </w:rPr>
        <w:t xml:space="preserve">-3) yer alan tabloda belirtilen süre ve tutar sınırı geçemez. </w:t>
      </w:r>
      <w:r w:rsidR="00305661">
        <w:rPr>
          <w:rFonts w:ascii="Times New Roman" w:eastAsia="Times New Roman" w:hAnsi="Times New Roman"/>
          <w:sz w:val="24"/>
          <w:szCs w:val="24"/>
          <w:lang w:eastAsia="tr-TR"/>
        </w:rPr>
        <w:t xml:space="preserve">Yönetmelik hükümlerine göre, </w:t>
      </w:r>
      <w:r w:rsidR="00305661" w:rsidRPr="00D33CEB">
        <w:rPr>
          <w:rFonts w:ascii="Times New Roman" w:eastAsia="Times New Roman" w:hAnsi="Times New Roman"/>
          <w:sz w:val="24"/>
          <w:szCs w:val="24"/>
          <w:lang w:eastAsia="tr-TR"/>
        </w:rPr>
        <w:t>sözleşmenin</w:t>
      </w:r>
      <w:r w:rsidR="00305661">
        <w:rPr>
          <w:rFonts w:ascii="Times New Roman" w:eastAsia="Times New Roman" w:hAnsi="Times New Roman"/>
          <w:sz w:val="24"/>
          <w:szCs w:val="24"/>
          <w:lang w:eastAsia="tr-TR"/>
        </w:rPr>
        <w:t xml:space="preserve"> 5 inci yılı tamamlandıktan sonra </w:t>
      </w:r>
      <w:r w:rsidR="00305661" w:rsidRPr="00D33CEB">
        <w:rPr>
          <w:rFonts w:ascii="Times New Roman" w:eastAsia="Times New Roman" w:hAnsi="Times New Roman"/>
          <w:sz w:val="24"/>
          <w:szCs w:val="24"/>
          <w:lang w:eastAsia="tr-TR"/>
        </w:rPr>
        <w:t>ilgili sözleşme için</w:t>
      </w:r>
      <w:r w:rsidR="00305661">
        <w:rPr>
          <w:rFonts w:ascii="Times New Roman" w:eastAsia="Times New Roman" w:hAnsi="Times New Roman"/>
          <w:sz w:val="24"/>
          <w:szCs w:val="24"/>
          <w:lang w:eastAsia="tr-TR"/>
        </w:rPr>
        <w:t xml:space="preserve"> giriş aidatı kesintisi yapılamaz. </w:t>
      </w:r>
      <w:r w:rsidR="00C32C35">
        <w:rPr>
          <w:rFonts w:ascii="Times New Roman" w:eastAsia="Times New Roman" w:hAnsi="Times New Roman"/>
          <w:sz w:val="24"/>
          <w:szCs w:val="24"/>
          <w:lang w:eastAsia="tr-TR"/>
        </w:rPr>
        <w:t xml:space="preserve">Bu kapsamda, ilgili sözleşmeler kapsamında </w:t>
      </w:r>
      <w:proofErr w:type="gramStart"/>
      <w:r w:rsidR="00C32C35">
        <w:rPr>
          <w:rFonts w:ascii="Times New Roman" w:eastAsia="Times New Roman" w:hAnsi="Times New Roman"/>
          <w:sz w:val="24"/>
          <w:szCs w:val="24"/>
          <w:lang w:eastAsia="tr-TR"/>
        </w:rPr>
        <w:t>halihazırda</w:t>
      </w:r>
      <w:proofErr w:type="gramEnd"/>
      <w:r w:rsidR="00C32C35">
        <w:rPr>
          <w:rFonts w:ascii="Times New Roman" w:eastAsia="Times New Roman" w:hAnsi="Times New Roman"/>
          <w:sz w:val="24"/>
          <w:szCs w:val="24"/>
          <w:lang w:eastAsia="tr-TR"/>
        </w:rPr>
        <w:t xml:space="preserve"> ertelenmiş giriş aidat</w:t>
      </w:r>
      <w:r w:rsidR="007406AD">
        <w:rPr>
          <w:rFonts w:ascii="Times New Roman" w:eastAsia="Times New Roman" w:hAnsi="Times New Roman"/>
          <w:sz w:val="24"/>
          <w:szCs w:val="24"/>
          <w:lang w:eastAsia="tr-TR"/>
        </w:rPr>
        <w:t xml:space="preserve">ı tanımlanmamış ise, bu şekilde kesinti </w:t>
      </w:r>
      <w:r w:rsidR="00C32C35">
        <w:rPr>
          <w:rFonts w:ascii="Times New Roman" w:eastAsia="Times New Roman" w:hAnsi="Times New Roman"/>
          <w:sz w:val="24"/>
          <w:szCs w:val="24"/>
          <w:lang w:eastAsia="tr-TR"/>
        </w:rPr>
        <w:t>yapılamaz.</w:t>
      </w:r>
    </w:p>
    <w:p w:rsidR="00A853AE"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25267E" w:rsidRPr="003F47F9" w:rsidRDefault="00E350F9" w:rsidP="00E74993">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proofErr w:type="gramStart"/>
      <w:r w:rsidRPr="00851E8A">
        <w:rPr>
          <w:rFonts w:ascii="Times New Roman" w:eastAsia="ヒラギノ明朝 Pro W3" w:hAnsi="Times New Roman"/>
          <w:sz w:val="24"/>
          <w:szCs w:val="24"/>
          <w:lang w:eastAsia="tr-TR"/>
        </w:rPr>
        <w:t xml:space="preserve">Emeklilik hakkının kullanılması veya vefat, maluliyet yahut şirketin tasfiyesi gibi zorunlu nedenlerle ayrılma durumları haricinde, 5 yıllık sözleşme süresi dolmadan şirketten ayrılma durumunda, şirketçe </w:t>
      </w:r>
      <w:r w:rsidR="00D05386" w:rsidRPr="00777586">
        <w:rPr>
          <w:rFonts w:ascii="Times New Roman" w:eastAsia="ヒラギノ明朝 Pro W3" w:hAnsi="Times New Roman"/>
          <w:sz w:val="24"/>
          <w:szCs w:val="24"/>
          <w:lang w:eastAsia="tr-TR"/>
        </w:rPr>
        <w:t xml:space="preserve">katılımcının bireysel emeklilik hesabındaki birikiminden ertelenmiş giriş aidatı şeklinde indirilebilecek tutar; </w:t>
      </w:r>
      <w:r w:rsidR="0025267E">
        <w:rPr>
          <w:rFonts w:ascii="Times New Roman" w:eastAsia="ヒラギノ明朝 Pro W3" w:hAnsi="Times New Roman"/>
          <w:sz w:val="24"/>
          <w:szCs w:val="24"/>
          <w:lang w:eastAsia="tr-TR"/>
        </w:rPr>
        <w:t xml:space="preserve">5 yıllık süreçte yapılabilecek toplam kesinti </w:t>
      </w:r>
      <w:r w:rsidR="00BE6525">
        <w:rPr>
          <w:rFonts w:ascii="Times New Roman" w:eastAsia="ヒラギノ明朝 Pro W3" w:hAnsi="Times New Roman"/>
          <w:sz w:val="24"/>
          <w:szCs w:val="24"/>
          <w:lang w:eastAsia="tr-TR"/>
        </w:rPr>
        <w:t>üst limitinden,</w:t>
      </w:r>
      <w:r w:rsidR="0025267E">
        <w:rPr>
          <w:rFonts w:ascii="Times New Roman" w:eastAsia="ヒラギノ明朝 Pro W3" w:hAnsi="Times New Roman"/>
          <w:sz w:val="24"/>
          <w:szCs w:val="24"/>
          <w:lang w:eastAsia="tr-TR"/>
        </w:rPr>
        <w:t xml:space="preserve"> katılımcıdan yapılan </w:t>
      </w:r>
      <w:r w:rsidR="00BE6525">
        <w:rPr>
          <w:rFonts w:ascii="Times New Roman" w:eastAsia="ヒラギノ明朝 Pro W3" w:hAnsi="Times New Roman"/>
          <w:sz w:val="24"/>
          <w:szCs w:val="24"/>
          <w:lang w:eastAsia="tr-TR"/>
        </w:rPr>
        <w:t xml:space="preserve">ayrılma tarihine kadar yapılan giriş aidatı ve yönetim gider kesintisi düşülerek hesaplanır. </w:t>
      </w:r>
      <w:proofErr w:type="gramEnd"/>
      <w:r w:rsidR="00BE6525">
        <w:rPr>
          <w:rFonts w:ascii="Times New Roman" w:eastAsia="ヒラギノ明朝 Pro W3" w:hAnsi="Times New Roman"/>
          <w:sz w:val="24"/>
          <w:szCs w:val="24"/>
          <w:lang w:eastAsia="tr-TR"/>
        </w:rPr>
        <w:t>Hesaplama yöntemine ilişkin örnek</w:t>
      </w:r>
      <w:r w:rsidR="00D20997">
        <w:rPr>
          <w:rFonts w:ascii="Times New Roman" w:eastAsia="ヒラギノ明朝 Pro W3" w:hAnsi="Times New Roman"/>
          <w:sz w:val="24"/>
          <w:szCs w:val="24"/>
          <w:lang w:eastAsia="tr-TR"/>
        </w:rPr>
        <w:t>ler</w:t>
      </w:r>
      <w:r w:rsidR="00BE6525">
        <w:rPr>
          <w:rFonts w:ascii="Times New Roman" w:eastAsia="ヒラギノ明朝 Pro W3" w:hAnsi="Times New Roman"/>
          <w:sz w:val="24"/>
          <w:szCs w:val="24"/>
          <w:lang w:eastAsia="tr-TR"/>
        </w:rPr>
        <w:t xml:space="preserve"> aşağıda verilmiştir. Bu hesaplama yapılırken, takip eden yılların ilk altı aylık dönemindeki asgari brüt ücret tutarının, ayrılma yılına ilişkin ilk altı aylık asgari brüt ücret tutarı ile aynı olduğu varsayılacaktır.</w:t>
      </w:r>
      <w:r w:rsidR="00D05386" w:rsidRPr="00673751">
        <w:rPr>
          <w:rFonts w:ascii="Times New Roman" w:eastAsia="ヒラギノ明朝 Pro W3" w:hAnsi="Times New Roman"/>
          <w:sz w:val="24"/>
          <w:szCs w:val="24"/>
          <w:lang w:eastAsia="tr-TR"/>
        </w:rPr>
        <w:t xml:space="preserve"> </w:t>
      </w:r>
    </w:p>
    <w:p w:rsidR="0025267E" w:rsidRDefault="0025267E" w:rsidP="003F47F9">
      <w:pPr>
        <w:pStyle w:val="ListeParagraf"/>
        <w:rPr>
          <w:rFonts w:ascii="Times New Roman" w:eastAsia="ヒラギノ明朝 Pro W3" w:hAnsi="Times New Roman"/>
          <w:sz w:val="24"/>
          <w:szCs w:val="24"/>
          <w:lang w:eastAsia="tr-TR"/>
        </w:rPr>
      </w:pPr>
    </w:p>
    <w:p w:rsidR="00D20997" w:rsidRDefault="00D20997" w:rsidP="003F47F9">
      <w:pPr>
        <w:pStyle w:val="ListeParagraf"/>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Örnek 1:</w:t>
      </w:r>
    </w:p>
    <w:p w:rsidR="00492A34" w:rsidRPr="003F47F9" w:rsidRDefault="00492A34" w:rsidP="003F47F9">
      <w:pPr>
        <w:pStyle w:val="ListeParagraf"/>
        <w:tabs>
          <w:tab w:val="left" w:pos="709"/>
        </w:tabs>
        <w:spacing w:after="0" w:line="240" w:lineRule="auto"/>
        <w:jc w:val="both"/>
        <w:rPr>
          <w:rFonts w:ascii="Times New Roman" w:eastAsia="Times New Roman" w:hAnsi="Times New Roman"/>
          <w:sz w:val="24"/>
          <w:szCs w:val="24"/>
          <w:lang w:eastAsia="tr-TR"/>
        </w:rPr>
      </w:pPr>
      <w:r w:rsidRPr="003F47F9">
        <w:rPr>
          <w:rFonts w:ascii="Times New Roman" w:eastAsia="ヒラギノ明朝 Pro W3" w:hAnsi="Times New Roman"/>
          <w:sz w:val="24"/>
          <w:szCs w:val="24"/>
          <w:lang w:eastAsia="tr-TR"/>
        </w:rPr>
        <w:t>01.01</w:t>
      </w:r>
      <w:r w:rsidR="00680F36" w:rsidRPr="003F47F9">
        <w:rPr>
          <w:rFonts w:ascii="Times New Roman" w:eastAsia="ヒラギノ明朝 Pro W3" w:hAnsi="Times New Roman"/>
          <w:sz w:val="24"/>
          <w:szCs w:val="24"/>
          <w:lang w:eastAsia="tr-TR"/>
        </w:rPr>
        <w:t>.2014</w:t>
      </w:r>
      <w:r w:rsidRPr="003F47F9">
        <w:rPr>
          <w:rFonts w:ascii="Times New Roman" w:eastAsia="ヒラギノ明朝 Pro W3" w:hAnsi="Times New Roman"/>
          <w:sz w:val="24"/>
          <w:szCs w:val="24"/>
          <w:lang w:eastAsia="tr-TR"/>
        </w:rPr>
        <w:t xml:space="preserve"> tarihinde yürürlüğe girmiş bir sözleşmenin katılımcısı 01.06.2016’da ayrılmak istemektedir. Bu durumda, şirketin 5 yıllık süreçte toplam kesebileceği tutarın üst sınırı aşağıdaki şekilde hesaplanacaktır:</w:t>
      </w:r>
    </w:p>
    <w:p w:rsidR="00492A34" w:rsidRDefault="00492A34" w:rsidP="003F47F9">
      <w:pPr>
        <w:pStyle w:val="ListeParagraf"/>
        <w:rPr>
          <w:rFonts w:ascii="Times New Roman" w:eastAsia="ヒラギノ明朝 Pro W3" w:hAnsi="Times New Roman"/>
          <w:sz w:val="24"/>
          <w:szCs w:val="24"/>
          <w:lang w:eastAsia="tr-TR"/>
        </w:rPr>
      </w:pPr>
    </w:p>
    <w:p w:rsidR="0025267E" w:rsidRDefault="0025267E" w:rsidP="003F47F9">
      <w:pPr>
        <w:pStyle w:val="ListeParagraf"/>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ABÜ= İlgili yılın ilk altı ayındaki asgari ücret</w:t>
      </w:r>
    </w:p>
    <w:p w:rsidR="00BE6525" w:rsidRPr="003F47F9" w:rsidRDefault="00BE6525" w:rsidP="003F47F9">
      <w:pPr>
        <w:pStyle w:val="ListeParagraf"/>
        <w:rPr>
          <w:rFonts w:ascii="Times New Roman" w:eastAsia="ヒラギノ明朝 Pro W3" w:hAnsi="Times New Roman"/>
          <w:sz w:val="24"/>
          <w:szCs w:val="24"/>
          <w:lang w:eastAsia="tr-TR"/>
        </w:rPr>
      </w:pPr>
    </w:p>
    <w:p w:rsidR="00492A34" w:rsidRPr="003F47F9" w:rsidRDefault="00492A34" w:rsidP="003F47F9">
      <w:pPr>
        <w:pStyle w:val="ListeParagraf"/>
        <w:tabs>
          <w:tab w:val="left" w:pos="709"/>
        </w:tabs>
        <w:spacing w:after="0" w:line="240" w:lineRule="auto"/>
        <w:jc w:val="both"/>
        <w:rPr>
          <w:rFonts w:ascii="Times New Roman" w:eastAsia="ヒラギノ明朝 Pro W3" w:hAnsi="Times New Roman"/>
          <w:sz w:val="24"/>
          <w:szCs w:val="24"/>
          <w:lang w:eastAsia="tr-TR"/>
        </w:rPr>
      </w:pPr>
      <w:r w:rsidRPr="003F47F9">
        <w:rPr>
          <w:rFonts w:ascii="Times New Roman" w:eastAsia="ヒラギノ明朝 Pro W3" w:hAnsi="Times New Roman"/>
          <w:sz w:val="24"/>
          <w:szCs w:val="24"/>
          <w:lang w:eastAsia="tr-TR"/>
        </w:rPr>
        <w:t>2014 ABÜ*%8,5+2015 ABÜ*%8,5+2016 ABÜ*%8,5*3</w:t>
      </w:r>
    </w:p>
    <w:p w:rsidR="00492A34" w:rsidRDefault="00492A34" w:rsidP="003F47F9">
      <w:pPr>
        <w:pStyle w:val="ListeParagraf"/>
        <w:tabs>
          <w:tab w:val="left" w:pos="709"/>
        </w:tabs>
        <w:spacing w:after="0" w:line="240" w:lineRule="auto"/>
        <w:jc w:val="both"/>
        <w:rPr>
          <w:rFonts w:ascii="Times New Roman" w:eastAsia="ヒラギノ明朝 Pro W3" w:hAnsi="Times New Roman"/>
          <w:sz w:val="24"/>
          <w:szCs w:val="24"/>
          <w:lang w:eastAsia="tr-TR"/>
        </w:rPr>
      </w:pPr>
    </w:p>
    <w:p w:rsidR="0025267E" w:rsidRDefault="00BE6525" w:rsidP="003F47F9">
      <w:pPr>
        <w:pStyle w:val="ListeParagraf"/>
        <w:tabs>
          <w:tab w:val="left" w:pos="709"/>
        </w:tabs>
        <w:spacing w:after="0" w:line="240" w:lineRule="auto"/>
        <w:ind w:left="708"/>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 xml:space="preserve">Not: 2017 ve 2018 </w:t>
      </w:r>
      <w:r w:rsidR="0025267E">
        <w:rPr>
          <w:rFonts w:ascii="Times New Roman" w:eastAsia="ヒラギノ明朝 Pro W3" w:hAnsi="Times New Roman"/>
          <w:sz w:val="24"/>
          <w:szCs w:val="24"/>
          <w:lang w:eastAsia="tr-TR"/>
        </w:rPr>
        <w:t>yıllar</w:t>
      </w:r>
      <w:r>
        <w:rPr>
          <w:rFonts w:ascii="Times New Roman" w:eastAsia="ヒラギノ明朝 Pro W3" w:hAnsi="Times New Roman"/>
          <w:sz w:val="24"/>
          <w:szCs w:val="24"/>
          <w:lang w:eastAsia="tr-TR"/>
        </w:rPr>
        <w:t>ın</w:t>
      </w:r>
      <w:r w:rsidR="0025267E">
        <w:rPr>
          <w:rFonts w:ascii="Times New Roman" w:eastAsia="ヒラギノ明朝 Pro W3" w:hAnsi="Times New Roman"/>
          <w:sz w:val="24"/>
          <w:szCs w:val="24"/>
          <w:lang w:eastAsia="tr-TR"/>
        </w:rPr>
        <w:t xml:space="preserve">a ilişkin </w:t>
      </w:r>
      <w:proofErr w:type="spellStart"/>
      <w:r w:rsidR="0025267E">
        <w:rPr>
          <w:rFonts w:ascii="Times New Roman" w:eastAsia="ヒラギノ明朝 Pro W3" w:hAnsi="Times New Roman"/>
          <w:sz w:val="24"/>
          <w:szCs w:val="24"/>
          <w:lang w:eastAsia="tr-TR"/>
        </w:rPr>
        <w:t>ABÜ’nün</w:t>
      </w:r>
      <w:proofErr w:type="spellEnd"/>
      <w:r w:rsidR="0025267E">
        <w:rPr>
          <w:rFonts w:ascii="Times New Roman" w:eastAsia="ヒラギノ明朝 Pro W3" w:hAnsi="Times New Roman"/>
          <w:sz w:val="24"/>
          <w:szCs w:val="24"/>
          <w:lang w:eastAsia="tr-TR"/>
        </w:rPr>
        <w:t xml:space="preserve"> 2016 yılı ABÜ ile aynı olduğu varsayılacaktır.</w:t>
      </w:r>
    </w:p>
    <w:p w:rsidR="0025267E" w:rsidRPr="003F47F9" w:rsidRDefault="0025267E" w:rsidP="003F47F9">
      <w:pPr>
        <w:pStyle w:val="ListeParagraf"/>
        <w:tabs>
          <w:tab w:val="left" w:pos="709"/>
        </w:tabs>
        <w:spacing w:after="0" w:line="240" w:lineRule="auto"/>
        <w:jc w:val="both"/>
        <w:rPr>
          <w:rFonts w:ascii="Times New Roman" w:eastAsia="ヒラギノ明朝 Pro W3" w:hAnsi="Times New Roman"/>
          <w:sz w:val="24"/>
          <w:szCs w:val="24"/>
          <w:lang w:eastAsia="tr-TR"/>
        </w:rPr>
      </w:pPr>
    </w:p>
    <w:p w:rsidR="005017E1" w:rsidRPr="00052178" w:rsidRDefault="00492A34" w:rsidP="00052178">
      <w:pPr>
        <w:pStyle w:val="ListeParagraf"/>
        <w:tabs>
          <w:tab w:val="left" w:pos="709"/>
        </w:tabs>
        <w:spacing w:after="0" w:line="240" w:lineRule="auto"/>
        <w:jc w:val="both"/>
        <w:rPr>
          <w:rFonts w:ascii="Times New Roman" w:eastAsia="ヒラギノ明朝 Pro W3" w:hAnsi="Times New Roman"/>
          <w:sz w:val="24"/>
          <w:szCs w:val="24"/>
          <w:lang w:eastAsia="tr-TR"/>
        </w:rPr>
      </w:pPr>
      <w:r w:rsidRPr="003F47F9">
        <w:rPr>
          <w:rFonts w:ascii="Times New Roman" w:eastAsia="ヒラギノ明朝 Pro W3" w:hAnsi="Times New Roman"/>
          <w:sz w:val="24"/>
          <w:szCs w:val="24"/>
          <w:lang w:eastAsia="tr-TR"/>
        </w:rPr>
        <w:t xml:space="preserve">Bunun sonucunda bulunan tutardan katılımcıdan ayrılma tarihine </w:t>
      </w:r>
      <w:r w:rsidR="004B10B5" w:rsidRPr="003F47F9">
        <w:rPr>
          <w:rFonts w:ascii="Times New Roman" w:eastAsia="ヒラギノ明朝 Pro W3" w:hAnsi="Times New Roman"/>
          <w:sz w:val="24"/>
          <w:szCs w:val="24"/>
          <w:lang w:eastAsia="tr-TR"/>
        </w:rPr>
        <w:t>kadar yapılan</w:t>
      </w:r>
      <w:r w:rsidRPr="003F47F9">
        <w:rPr>
          <w:rFonts w:ascii="Times New Roman" w:eastAsia="ヒラギノ明朝 Pro W3" w:hAnsi="Times New Roman"/>
          <w:sz w:val="24"/>
          <w:szCs w:val="24"/>
          <w:lang w:eastAsia="tr-TR"/>
        </w:rPr>
        <w:t xml:space="preserve"> yönetim gider kesintisi ve giriş aida</w:t>
      </w:r>
      <w:r w:rsidR="0025267E" w:rsidRPr="003F47F9">
        <w:rPr>
          <w:rFonts w:ascii="Times New Roman" w:eastAsia="ヒラギノ明朝 Pro W3" w:hAnsi="Times New Roman"/>
          <w:sz w:val="24"/>
          <w:szCs w:val="24"/>
          <w:lang w:eastAsia="tr-TR"/>
        </w:rPr>
        <w:t>tı kesintisi toplamı çıkarılır. Kalan tutar ertelenmiş giriş aidatı tutarı</w:t>
      </w:r>
      <w:r w:rsidR="00052178">
        <w:rPr>
          <w:rFonts w:ascii="Times New Roman" w:eastAsia="ヒラギノ明朝 Pro W3" w:hAnsi="Times New Roman"/>
          <w:sz w:val="24"/>
          <w:szCs w:val="24"/>
          <w:lang w:eastAsia="tr-TR"/>
        </w:rPr>
        <w:t xml:space="preserve"> olarak katılımcıdan alınabilir.</w:t>
      </w:r>
    </w:p>
    <w:p w:rsidR="009C3257" w:rsidRDefault="009C3257" w:rsidP="009C3257">
      <w:pPr>
        <w:pStyle w:val="ListeParagraf"/>
        <w:tabs>
          <w:tab w:val="left" w:pos="709"/>
        </w:tabs>
        <w:spacing w:after="0" w:line="240" w:lineRule="auto"/>
        <w:ind w:left="0"/>
        <w:jc w:val="both"/>
        <w:rPr>
          <w:rFonts w:ascii="Times New Roman" w:eastAsia="ヒラギノ明朝 Pro W3" w:hAnsi="Times New Roman"/>
          <w:sz w:val="24"/>
          <w:szCs w:val="24"/>
          <w:highlight w:val="yellow"/>
          <w:lang w:eastAsia="tr-TR"/>
        </w:rPr>
      </w:pPr>
    </w:p>
    <w:p w:rsidR="00D20997" w:rsidRDefault="00D20997" w:rsidP="007E59B7">
      <w:pPr>
        <w:pStyle w:val="ListeParagraf"/>
        <w:tabs>
          <w:tab w:val="left" w:pos="709"/>
        </w:tabs>
        <w:spacing w:after="0" w:line="240" w:lineRule="auto"/>
        <w:ind w:left="0"/>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lastRenderedPageBreak/>
        <w:tab/>
      </w:r>
      <w:r w:rsidRPr="007E59B7">
        <w:rPr>
          <w:rFonts w:ascii="Times New Roman" w:eastAsia="ヒラギノ明朝 Pro W3" w:hAnsi="Times New Roman"/>
          <w:sz w:val="24"/>
          <w:szCs w:val="24"/>
          <w:lang w:eastAsia="tr-TR"/>
        </w:rPr>
        <w:t xml:space="preserve">Örnek 2: </w:t>
      </w:r>
    </w:p>
    <w:p w:rsidR="00D20997" w:rsidRDefault="00D20997" w:rsidP="007E59B7">
      <w:pPr>
        <w:pStyle w:val="ListeParagraf"/>
        <w:tabs>
          <w:tab w:val="left" w:pos="709"/>
        </w:tabs>
        <w:spacing w:after="0" w:line="240" w:lineRule="auto"/>
        <w:ind w:left="0"/>
        <w:jc w:val="both"/>
        <w:rPr>
          <w:rFonts w:ascii="Times New Roman" w:eastAsia="ヒラギノ明朝 Pro W3" w:hAnsi="Times New Roman"/>
          <w:sz w:val="24"/>
          <w:szCs w:val="24"/>
          <w:lang w:eastAsia="tr-TR"/>
        </w:rPr>
      </w:pPr>
    </w:p>
    <w:p w:rsidR="00D20997" w:rsidRPr="007E59B7" w:rsidRDefault="00D20997" w:rsidP="007E59B7">
      <w:pPr>
        <w:pStyle w:val="ListeParagraf"/>
        <w:tabs>
          <w:tab w:val="left" w:pos="709"/>
        </w:tabs>
        <w:spacing w:after="0" w:line="240" w:lineRule="auto"/>
        <w:ind w:left="708"/>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ab/>
      </w:r>
      <w:r w:rsidR="004E756F">
        <w:rPr>
          <w:rFonts w:ascii="Times New Roman" w:eastAsia="ヒラギノ明朝 Pro W3" w:hAnsi="Times New Roman"/>
          <w:sz w:val="24"/>
          <w:szCs w:val="24"/>
          <w:lang w:eastAsia="tr-TR"/>
        </w:rPr>
        <w:t xml:space="preserve">A şirketinde </w:t>
      </w:r>
      <w:r w:rsidR="004E756F" w:rsidRPr="003F47F9">
        <w:rPr>
          <w:rFonts w:ascii="Times New Roman" w:eastAsia="ヒラギノ明朝 Pro W3" w:hAnsi="Times New Roman"/>
          <w:sz w:val="24"/>
          <w:szCs w:val="24"/>
          <w:lang w:eastAsia="tr-TR"/>
        </w:rPr>
        <w:t>01.01</w:t>
      </w:r>
      <w:r w:rsidR="004E756F">
        <w:rPr>
          <w:rFonts w:ascii="Times New Roman" w:eastAsia="ヒラギノ明朝 Pro W3" w:hAnsi="Times New Roman"/>
          <w:sz w:val="24"/>
          <w:szCs w:val="24"/>
          <w:lang w:eastAsia="tr-TR"/>
        </w:rPr>
        <w:t>.2016</w:t>
      </w:r>
      <w:r w:rsidR="004E756F" w:rsidRPr="003F47F9">
        <w:rPr>
          <w:rFonts w:ascii="Times New Roman" w:eastAsia="ヒラギノ明朝 Pro W3" w:hAnsi="Times New Roman"/>
          <w:sz w:val="24"/>
          <w:szCs w:val="24"/>
          <w:lang w:eastAsia="tr-TR"/>
        </w:rPr>
        <w:t xml:space="preserve"> tarihinde </w:t>
      </w:r>
      <w:r w:rsidR="004E756F">
        <w:rPr>
          <w:rFonts w:ascii="Times New Roman" w:eastAsia="ヒラギノ明朝 Pro W3" w:hAnsi="Times New Roman"/>
          <w:sz w:val="24"/>
          <w:szCs w:val="24"/>
          <w:lang w:eastAsia="tr-TR"/>
        </w:rPr>
        <w:t xml:space="preserve">sözleşmesi </w:t>
      </w:r>
      <w:r w:rsidR="004E756F" w:rsidRPr="003F47F9">
        <w:rPr>
          <w:rFonts w:ascii="Times New Roman" w:eastAsia="ヒラギノ明朝 Pro W3" w:hAnsi="Times New Roman"/>
          <w:sz w:val="24"/>
          <w:szCs w:val="24"/>
          <w:lang w:eastAsia="tr-TR"/>
        </w:rPr>
        <w:t>yürürlüğe girmiş bir katılımcı</w:t>
      </w:r>
      <w:r w:rsidR="004E756F">
        <w:rPr>
          <w:rFonts w:ascii="Times New Roman" w:eastAsia="ヒラギノ明朝 Pro W3" w:hAnsi="Times New Roman"/>
          <w:sz w:val="24"/>
          <w:szCs w:val="24"/>
          <w:lang w:eastAsia="tr-TR"/>
        </w:rPr>
        <w:t>,</w:t>
      </w:r>
      <w:r w:rsidR="004E756F" w:rsidRPr="003F47F9">
        <w:rPr>
          <w:rFonts w:ascii="Times New Roman" w:eastAsia="ヒラギノ明朝 Pro W3" w:hAnsi="Times New Roman"/>
          <w:sz w:val="24"/>
          <w:szCs w:val="24"/>
          <w:lang w:eastAsia="tr-TR"/>
        </w:rPr>
        <w:t xml:space="preserve"> 01.06.201</w:t>
      </w:r>
      <w:r w:rsidR="004E756F">
        <w:rPr>
          <w:rFonts w:ascii="Times New Roman" w:eastAsia="ヒラギノ明朝 Pro W3" w:hAnsi="Times New Roman"/>
          <w:sz w:val="24"/>
          <w:szCs w:val="24"/>
          <w:lang w:eastAsia="tr-TR"/>
        </w:rPr>
        <w:t xml:space="preserve">8 itibarıyla B şirketinde başka bir şirkete aktarım yapmak istemektedir. A şirketi çıkış öncesi </w:t>
      </w:r>
      <w:r w:rsidR="004E756F" w:rsidRPr="003F47F9">
        <w:rPr>
          <w:rFonts w:ascii="Times New Roman" w:eastAsia="ヒラギノ明朝 Pro W3" w:hAnsi="Times New Roman"/>
          <w:sz w:val="24"/>
          <w:szCs w:val="24"/>
          <w:lang w:eastAsia="tr-TR"/>
        </w:rPr>
        <w:t>201</w:t>
      </w:r>
      <w:r w:rsidR="004E756F">
        <w:rPr>
          <w:rFonts w:ascii="Times New Roman" w:eastAsia="ヒラギノ明朝 Pro W3" w:hAnsi="Times New Roman"/>
          <w:sz w:val="24"/>
          <w:szCs w:val="24"/>
          <w:lang w:eastAsia="tr-TR"/>
        </w:rPr>
        <w:t>6</w:t>
      </w:r>
      <w:r w:rsidR="004E756F" w:rsidRPr="003F47F9">
        <w:rPr>
          <w:rFonts w:ascii="Times New Roman" w:eastAsia="ヒラギノ明朝 Pro W3" w:hAnsi="Times New Roman"/>
          <w:sz w:val="24"/>
          <w:szCs w:val="24"/>
          <w:lang w:eastAsia="tr-TR"/>
        </w:rPr>
        <w:t xml:space="preserve"> ABÜ*%8,5</w:t>
      </w:r>
      <w:r w:rsidR="004E756F">
        <w:rPr>
          <w:rFonts w:ascii="Times New Roman" w:eastAsia="ヒラギノ明朝 Pro W3" w:hAnsi="Times New Roman"/>
          <w:sz w:val="24"/>
          <w:szCs w:val="24"/>
          <w:lang w:eastAsia="tr-TR"/>
        </w:rPr>
        <w:t>+2017 ABÜ*</w:t>
      </w:r>
      <w:r w:rsidR="004E756F" w:rsidRPr="003F47F9">
        <w:rPr>
          <w:rFonts w:ascii="Times New Roman" w:eastAsia="ヒラギノ明朝 Pro W3" w:hAnsi="Times New Roman"/>
          <w:sz w:val="24"/>
          <w:szCs w:val="24"/>
          <w:lang w:eastAsia="tr-TR"/>
        </w:rPr>
        <w:t>%8,5</w:t>
      </w:r>
      <w:r w:rsidR="004E756F">
        <w:rPr>
          <w:rFonts w:ascii="Times New Roman" w:eastAsia="ヒラギノ明朝 Pro W3" w:hAnsi="Times New Roman"/>
          <w:sz w:val="24"/>
          <w:szCs w:val="24"/>
          <w:lang w:eastAsia="tr-TR"/>
        </w:rPr>
        <w:t xml:space="preserve"> kadarlık bir kesinti yapmış olup, çıkışta da ertelenmiş giriş aidatı olarak 2018 ABÜ*%8,5*3 tutarında kesinti yapmıştır. </w:t>
      </w:r>
      <w:proofErr w:type="gramStart"/>
      <w:r w:rsidR="004E756F">
        <w:rPr>
          <w:rFonts w:ascii="Times New Roman" w:eastAsia="ヒラギノ明朝 Pro W3" w:hAnsi="Times New Roman"/>
          <w:sz w:val="24"/>
          <w:szCs w:val="24"/>
          <w:lang w:eastAsia="tr-TR"/>
        </w:rPr>
        <w:t xml:space="preserve">Bu durumda, B şirketi 2018 yılı için yalnızca </w:t>
      </w:r>
      <w:r w:rsidR="00FC6397">
        <w:rPr>
          <w:rFonts w:ascii="Times New Roman" w:eastAsia="ヒラギノ明朝 Pro W3" w:hAnsi="Times New Roman"/>
          <w:sz w:val="24"/>
          <w:szCs w:val="24"/>
          <w:lang w:eastAsia="tr-TR"/>
        </w:rPr>
        <w:t xml:space="preserve">fon toplam gider </w:t>
      </w:r>
      <w:r w:rsidR="004E756F">
        <w:rPr>
          <w:rFonts w:ascii="Times New Roman" w:eastAsia="ヒラギノ明朝 Pro W3" w:hAnsi="Times New Roman"/>
          <w:sz w:val="24"/>
          <w:szCs w:val="24"/>
          <w:lang w:eastAsia="tr-TR"/>
        </w:rPr>
        <w:t>kesintisi yapabilecek, 2019</w:t>
      </w:r>
      <w:r w:rsidR="00750A43">
        <w:rPr>
          <w:rFonts w:ascii="Times New Roman" w:eastAsia="ヒラギノ明朝 Pro W3" w:hAnsi="Times New Roman"/>
          <w:sz w:val="24"/>
          <w:szCs w:val="24"/>
          <w:lang w:eastAsia="tr-TR"/>
        </w:rPr>
        <w:t>, 2020 ve 2021</w:t>
      </w:r>
      <w:r w:rsidR="004E756F">
        <w:rPr>
          <w:rFonts w:ascii="Times New Roman" w:eastAsia="ヒラギノ明朝 Pro W3" w:hAnsi="Times New Roman"/>
          <w:sz w:val="24"/>
          <w:szCs w:val="24"/>
          <w:lang w:eastAsia="tr-TR"/>
        </w:rPr>
        <w:t xml:space="preserve"> yıl</w:t>
      </w:r>
      <w:r w:rsidR="00750A43">
        <w:rPr>
          <w:rFonts w:ascii="Times New Roman" w:eastAsia="ヒラギノ明朝 Pro W3" w:hAnsi="Times New Roman"/>
          <w:sz w:val="24"/>
          <w:szCs w:val="24"/>
          <w:lang w:eastAsia="tr-TR"/>
        </w:rPr>
        <w:t>larında</w:t>
      </w:r>
      <w:r w:rsidR="004E756F">
        <w:rPr>
          <w:rFonts w:ascii="Times New Roman" w:eastAsia="ヒラギノ明朝 Pro W3" w:hAnsi="Times New Roman"/>
          <w:sz w:val="24"/>
          <w:szCs w:val="24"/>
          <w:lang w:eastAsia="tr-TR"/>
        </w:rPr>
        <w:t xml:space="preserve"> ise</w:t>
      </w:r>
      <w:r w:rsidR="00750A43">
        <w:rPr>
          <w:rFonts w:ascii="Times New Roman" w:eastAsia="ヒラギノ明朝 Pro W3" w:hAnsi="Times New Roman"/>
          <w:sz w:val="24"/>
          <w:szCs w:val="24"/>
          <w:lang w:eastAsia="tr-TR"/>
        </w:rPr>
        <w:t xml:space="preserve"> </w:t>
      </w:r>
      <w:r w:rsidR="00FC6397">
        <w:rPr>
          <w:rFonts w:ascii="Times New Roman" w:eastAsia="ヒラギノ明朝 Pro W3" w:hAnsi="Times New Roman"/>
          <w:sz w:val="24"/>
          <w:szCs w:val="24"/>
          <w:lang w:eastAsia="tr-TR"/>
        </w:rPr>
        <w:t xml:space="preserve">fon toplam gider kesintisinin </w:t>
      </w:r>
      <w:r w:rsidR="00750A43">
        <w:rPr>
          <w:rFonts w:ascii="Times New Roman" w:eastAsia="ヒラギノ明朝 Pro W3" w:hAnsi="Times New Roman"/>
          <w:sz w:val="24"/>
          <w:szCs w:val="24"/>
          <w:lang w:eastAsia="tr-TR"/>
        </w:rPr>
        <w:t xml:space="preserve">yanı sıra </w:t>
      </w:r>
      <w:r w:rsidR="00FC6397">
        <w:rPr>
          <w:rFonts w:ascii="Times New Roman" w:eastAsia="ヒラギノ明朝 Pro W3" w:hAnsi="Times New Roman"/>
          <w:sz w:val="24"/>
          <w:szCs w:val="24"/>
          <w:lang w:eastAsia="tr-TR"/>
        </w:rPr>
        <w:t>yönetim gider kesintisi</w:t>
      </w:r>
      <w:r w:rsidR="00750A43">
        <w:rPr>
          <w:rFonts w:ascii="Times New Roman" w:eastAsia="ヒラギノ明朝 Pro W3" w:hAnsi="Times New Roman"/>
          <w:sz w:val="24"/>
          <w:szCs w:val="24"/>
          <w:lang w:eastAsia="tr-TR"/>
        </w:rPr>
        <w:t xml:space="preserve"> olarak sırasıyla </w:t>
      </w:r>
      <w:r w:rsidR="004E756F">
        <w:rPr>
          <w:rFonts w:ascii="Times New Roman" w:eastAsia="ヒラギノ明朝 Pro W3" w:hAnsi="Times New Roman"/>
          <w:sz w:val="24"/>
          <w:szCs w:val="24"/>
          <w:lang w:eastAsia="tr-TR"/>
        </w:rPr>
        <w:t xml:space="preserve"> (2019 ABÜ-2018 ABÜ)*%8,5</w:t>
      </w:r>
      <w:r w:rsidR="00750A43">
        <w:rPr>
          <w:rFonts w:ascii="Times New Roman" w:eastAsia="ヒラギノ明朝 Pro W3" w:hAnsi="Times New Roman"/>
          <w:sz w:val="24"/>
          <w:szCs w:val="24"/>
          <w:lang w:eastAsia="tr-TR"/>
        </w:rPr>
        <w:t>, (2020 ABÜ-2018 ABÜ)*%8,5 ve (2021 ABÜ-2018 ABÜ)*%8,5</w:t>
      </w:r>
      <w:r w:rsidR="004E756F">
        <w:rPr>
          <w:rFonts w:ascii="Times New Roman" w:eastAsia="ヒラギノ明朝 Pro W3" w:hAnsi="Times New Roman"/>
          <w:sz w:val="24"/>
          <w:szCs w:val="24"/>
          <w:lang w:eastAsia="tr-TR"/>
        </w:rPr>
        <w:t xml:space="preserve"> </w:t>
      </w:r>
      <w:r w:rsidR="00750A43">
        <w:rPr>
          <w:rFonts w:ascii="Times New Roman" w:eastAsia="ヒラギノ明朝 Pro W3" w:hAnsi="Times New Roman"/>
          <w:sz w:val="24"/>
          <w:szCs w:val="24"/>
          <w:lang w:eastAsia="tr-TR"/>
        </w:rPr>
        <w:t>tutarında kesinti yapabilecektir.</w:t>
      </w:r>
      <w:proofErr w:type="gramEnd"/>
    </w:p>
    <w:p w:rsidR="00F707B2" w:rsidRPr="003F47F9" w:rsidRDefault="00F707B2" w:rsidP="003F47F9">
      <w:pPr>
        <w:pStyle w:val="ListeParagraf"/>
        <w:tabs>
          <w:tab w:val="left" w:pos="709"/>
        </w:tabs>
        <w:spacing w:after="0" w:line="240" w:lineRule="auto"/>
        <w:jc w:val="both"/>
        <w:rPr>
          <w:rFonts w:ascii="Times New Roman" w:eastAsia="Times New Roman" w:hAnsi="Times New Roman"/>
          <w:sz w:val="24"/>
          <w:szCs w:val="24"/>
          <w:highlight w:val="yellow"/>
          <w:lang w:eastAsia="tr-TR"/>
        </w:rPr>
      </w:pPr>
    </w:p>
    <w:p w:rsidR="0082052D" w:rsidRPr="00A853AE" w:rsidRDefault="0082052D" w:rsidP="00851E8A">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Birden fazla sözleşmesi bulunan ve emeklilik hakkını kullanmak isteyen katılımcının sözleşmeleri hesap birleştirme yapılmadan önce her bir sözleşme için sözleşme bazında üst sınır kontrolleri </w:t>
      </w:r>
      <w:r w:rsidR="00D80503">
        <w:rPr>
          <w:rFonts w:ascii="Times New Roman" w:eastAsia="Times New Roman" w:hAnsi="Times New Roman"/>
          <w:sz w:val="24"/>
          <w:szCs w:val="24"/>
          <w:lang w:eastAsia="tr-TR"/>
        </w:rPr>
        <w:t xml:space="preserve">ve varsa iade işlemleri </w:t>
      </w:r>
      <w:r>
        <w:rPr>
          <w:rFonts w:ascii="Times New Roman" w:eastAsia="Times New Roman" w:hAnsi="Times New Roman"/>
          <w:sz w:val="24"/>
          <w:szCs w:val="24"/>
          <w:lang w:eastAsia="tr-TR"/>
        </w:rPr>
        <w:t>yapılır.</w:t>
      </w:r>
    </w:p>
    <w:p w:rsidR="00A853AE" w:rsidRPr="00D40F54"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7B5F39" w:rsidRPr="008D52CA" w:rsidRDefault="00433260" w:rsidP="00A07F7B">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r w:rsidRPr="00826C6B">
        <w:rPr>
          <w:rFonts w:ascii="Times New Roman" w:eastAsia="Times New Roman" w:hAnsi="Times New Roman"/>
          <w:sz w:val="24"/>
          <w:szCs w:val="24"/>
          <w:u w:val="single"/>
          <w:lang w:eastAsia="tr-TR"/>
        </w:rPr>
        <w:t>Sözleşmede yer alan devlet katkısı tutarı ile ilişkilendirilen</w:t>
      </w:r>
      <w:r w:rsidRPr="00826C6B">
        <w:rPr>
          <w:rFonts w:ascii="Times New Roman" w:eastAsia="Times New Roman" w:hAnsi="Times New Roman"/>
          <w:sz w:val="24"/>
          <w:szCs w:val="24"/>
          <w:lang w:eastAsia="tr-TR"/>
        </w:rPr>
        <w:t xml:space="preserve">, kesintilere yönelik üst sınır </w:t>
      </w:r>
      <w:r w:rsidRPr="00826C6B">
        <w:rPr>
          <w:rFonts w:ascii="Times New Roman" w:eastAsia="ヒラギノ明朝 Pro W3" w:hAnsi="Times New Roman"/>
          <w:sz w:val="24"/>
          <w:szCs w:val="24"/>
          <w:lang w:eastAsia="tr-TR"/>
        </w:rPr>
        <w:t xml:space="preserve">kontrolünde, 01.01.2016 tarihi itibarıyla mevcut bulunan birikim </w:t>
      </w:r>
      <w:r w:rsidR="0033345F" w:rsidRPr="00826C6B">
        <w:rPr>
          <w:rFonts w:ascii="Times New Roman" w:eastAsia="ヒラギノ明朝 Pro W3" w:hAnsi="Times New Roman"/>
          <w:sz w:val="24"/>
          <w:szCs w:val="24"/>
          <w:lang w:eastAsia="tr-TR"/>
        </w:rPr>
        <w:t xml:space="preserve">ile bu birikime ilişkin getirinin </w:t>
      </w:r>
      <w:r w:rsidR="00826C6B" w:rsidRPr="00826C6B">
        <w:rPr>
          <w:rFonts w:ascii="Times New Roman" w:eastAsia="ヒラギノ明朝 Pro W3" w:hAnsi="Times New Roman"/>
          <w:sz w:val="24"/>
          <w:szCs w:val="24"/>
          <w:lang w:eastAsia="tr-TR"/>
        </w:rPr>
        <w:t>toplamı üzerinden</w:t>
      </w:r>
      <w:r w:rsidRPr="00826C6B">
        <w:rPr>
          <w:rFonts w:ascii="Times New Roman" w:eastAsia="ヒラギノ明朝 Pro W3" w:hAnsi="Times New Roman"/>
          <w:sz w:val="24"/>
          <w:szCs w:val="24"/>
          <w:lang w:eastAsia="tr-TR"/>
        </w:rPr>
        <w:t xml:space="preserve"> kontrol tarihine kadar yapılan </w:t>
      </w:r>
      <w:r w:rsidR="001F589A" w:rsidRPr="00826C6B">
        <w:rPr>
          <w:rFonts w:ascii="Times New Roman" w:eastAsia="ヒラギノ明朝 Pro W3" w:hAnsi="Times New Roman"/>
          <w:sz w:val="24"/>
          <w:szCs w:val="24"/>
          <w:lang w:eastAsia="tr-TR"/>
        </w:rPr>
        <w:t xml:space="preserve">hiçbir kesinti </w:t>
      </w:r>
      <w:r w:rsidRPr="00826C6B">
        <w:rPr>
          <w:rFonts w:ascii="Times New Roman" w:eastAsia="ヒラギノ明朝 Pro W3" w:hAnsi="Times New Roman"/>
          <w:sz w:val="24"/>
          <w:szCs w:val="24"/>
          <w:lang w:eastAsia="tr-TR"/>
        </w:rPr>
        <w:t xml:space="preserve">dikkate alınmaz. </w:t>
      </w:r>
      <w:r w:rsidR="002231A1">
        <w:rPr>
          <w:rFonts w:ascii="Times New Roman" w:eastAsia="ヒラギノ明朝 Pro W3" w:hAnsi="Times New Roman"/>
          <w:sz w:val="24"/>
          <w:szCs w:val="24"/>
          <w:lang w:eastAsia="tr-TR"/>
        </w:rPr>
        <w:t>Söz konusu birikime ilişkin getiri</w:t>
      </w:r>
      <w:r w:rsidR="007B5F39">
        <w:rPr>
          <w:rFonts w:ascii="Times New Roman" w:eastAsia="ヒラギノ明朝 Pro W3" w:hAnsi="Times New Roman"/>
          <w:sz w:val="24"/>
          <w:szCs w:val="24"/>
          <w:lang w:eastAsia="tr-TR"/>
        </w:rPr>
        <w:t xml:space="preserve"> ile kontrolde dikkate alınmayacak fon toplam gider kesintilerinin </w:t>
      </w:r>
      <w:r w:rsidR="002231A1">
        <w:rPr>
          <w:rFonts w:ascii="Times New Roman" w:eastAsia="ヒラギノ明朝 Pro W3" w:hAnsi="Times New Roman"/>
          <w:sz w:val="24"/>
          <w:szCs w:val="24"/>
          <w:lang w:eastAsia="tr-TR"/>
        </w:rPr>
        <w:t xml:space="preserve">hesaplanabilmesi amacıyla, şirketler, </w:t>
      </w:r>
      <w:r w:rsidR="006C1C3E">
        <w:rPr>
          <w:rFonts w:ascii="Times New Roman" w:eastAsia="ヒラギノ明朝 Pro W3" w:hAnsi="Times New Roman"/>
          <w:sz w:val="24"/>
          <w:szCs w:val="24"/>
          <w:lang w:eastAsia="tr-TR"/>
        </w:rPr>
        <w:t xml:space="preserve">Emeklilik Planı Hakkında Genelge (2013/3) kapsamında </w:t>
      </w:r>
      <w:r w:rsidR="007B5F39">
        <w:rPr>
          <w:rFonts w:ascii="Times New Roman" w:eastAsia="ヒラギノ明朝 Pro W3" w:hAnsi="Times New Roman"/>
          <w:sz w:val="24"/>
          <w:szCs w:val="24"/>
          <w:lang w:eastAsia="tr-TR"/>
        </w:rPr>
        <w:t xml:space="preserve">01.01.2016 itibarıyla </w:t>
      </w:r>
      <w:r w:rsidR="002231A1">
        <w:rPr>
          <w:rFonts w:ascii="Times New Roman" w:eastAsia="ヒラギノ明朝 Pro W3" w:hAnsi="Times New Roman"/>
          <w:sz w:val="24"/>
          <w:szCs w:val="24"/>
          <w:lang w:eastAsia="tr-TR"/>
        </w:rPr>
        <w:t>sundukları</w:t>
      </w:r>
      <w:r w:rsidR="006C1C3E">
        <w:rPr>
          <w:rFonts w:ascii="Times New Roman" w:eastAsia="ヒラギノ明朝 Pro W3" w:hAnsi="Times New Roman"/>
          <w:sz w:val="24"/>
          <w:szCs w:val="24"/>
          <w:lang w:eastAsia="tr-TR"/>
        </w:rPr>
        <w:t xml:space="preserve"> standart fonlar</w:t>
      </w:r>
      <w:r w:rsidR="007B5F39">
        <w:rPr>
          <w:rFonts w:ascii="Times New Roman" w:eastAsia="ヒラギノ明朝 Pro W3" w:hAnsi="Times New Roman"/>
          <w:sz w:val="24"/>
          <w:szCs w:val="24"/>
          <w:lang w:eastAsia="tr-TR"/>
        </w:rPr>
        <w:t xml:space="preserve">a ilişkin fon pay değeri ve fon toplam gider kesinti oranlarını kullanacaklardır. Katılımcılarına birden fazla standart fon sunan şirketler, kontrolde kullanılacak standart fon </w:t>
      </w:r>
      <w:r w:rsidR="001C39EF">
        <w:rPr>
          <w:rFonts w:ascii="Times New Roman" w:eastAsia="ヒラギノ明朝 Pro W3" w:hAnsi="Times New Roman"/>
          <w:sz w:val="24"/>
          <w:szCs w:val="24"/>
          <w:lang w:eastAsia="tr-TR"/>
        </w:rPr>
        <w:t>konusunda katılımcıların</w:t>
      </w:r>
      <w:r w:rsidR="002231A1">
        <w:rPr>
          <w:rFonts w:ascii="Times New Roman" w:eastAsia="ヒラギノ明朝 Pro W3" w:hAnsi="Times New Roman"/>
          <w:sz w:val="24"/>
          <w:szCs w:val="24"/>
          <w:lang w:eastAsia="tr-TR"/>
        </w:rPr>
        <w:t xml:space="preserve"> tercihlerini al</w:t>
      </w:r>
      <w:r w:rsidR="007B5F39">
        <w:rPr>
          <w:rFonts w:ascii="Times New Roman" w:eastAsia="ヒラギノ明朝 Pro W3" w:hAnsi="Times New Roman"/>
          <w:sz w:val="24"/>
          <w:szCs w:val="24"/>
          <w:lang w:eastAsia="tr-TR"/>
        </w:rPr>
        <w:t>acaklardır.</w:t>
      </w:r>
    </w:p>
    <w:p w:rsidR="007B5F39" w:rsidRDefault="007B5F39" w:rsidP="008D52CA">
      <w:pPr>
        <w:pStyle w:val="ListeParagraf"/>
        <w:rPr>
          <w:rFonts w:ascii="Times New Roman" w:eastAsia="ヒラギノ明朝 Pro W3" w:hAnsi="Times New Roman"/>
          <w:sz w:val="24"/>
          <w:szCs w:val="24"/>
          <w:lang w:eastAsia="tr-TR"/>
        </w:rPr>
      </w:pPr>
    </w:p>
    <w:p w:rsidR="00A07F7B" w:rsidRPr="00E2653A" w:rsidRDefault="007B5F39" w:rsidP="008D52CA">
      <w:pPr>
        <w:pStyle w:val="ListeParagraf"/>
        <w:tabs>
          <w:tab w:val="left" w:pos="709"/>
        </w:tabs>
        <w:spacing w:after="0" w:line="240" w:lineRule="auto"/>
        <w:jc w:val="both"/>
        <w:rPr>
          <w:rFonts w:ascii="Times New Roman" w:eastAsia="Times New Roman" w:hAnsi="Times New Roman"/>
          <w:sz w:val="24"/>
          <w:szCs w:val="24"/>
          <w:lang w:eastAsia="tr-TR"/>
        </w:rPr>
      </w:pPr>
      <w:r>
        <w:rPr>
          <w:rFonts w:ascii="Times New Roman" w:eastAsia="ヒラギノ明朝 Pro W3" w:hAnsi="Times New Roman"/>
          <w:sz w:val="24"/>
          <w:szCs w:val="24"/>
          <w:lang w:eastAsia="tr-TR"/>
        </w:rPr>
        <w:t>K</w:t>
      </w:r>
      <w:r w:rsidR="00853A6E" w:rsidRPr="00826C6B">
        <w:rPr>
          <w:rFonts w:ascii="Times New Roman" w:eastAsia="ヒラギノ明朝 Pro W3" w:hAnsi="Times New Roman"/>
          <w:sz w:val="24"/>
          <w:szCs w:val="24"/>
          <w:lang w:eastAsia="tr-TR"/>
        </w:rPr>
        <w:t xml:space="preserve">ontrolde kullanılacak toplam kesinti tutarına ilişkin hesaplamada, </w:t>
      </w:r>
      <w:r w:rsidR="00433260" w:rsidRPr="00826C6B">
        <w:rPr>
          <w:rFonts w:ascii="Times New Roman" w:eastAsia="ヒラギノ明朝 Pro W3" w:hAnsi="Times New Roman"/>
          <w:sz w:val="24"/>
          <w:szCs w:val="24"/>
          <w:lang w:eastAsia="tr-TR"/>
        </w:rPr>
        <w:t xml:space="preserve">yalnızca </w:t>
      </w:r>
      <w:r w:rsidR="00853A6E" w:rsidRPr="00826C6B">
        <w:rPr>
          <w:rFonts w:ascii="Times New Roman" w:eastAsia="ヒラギノ明朝 Pro W3" w:hAnsi="Times New Roman"/>
          <w:sz w:val="24"/>
          <w:szCs w:val="24"/>
          <w:lang w:eastAsia="tr-TR"/>
        </w:rPr>
        <w:t xml:space="preserve">anılan tarihten sonra </w:t>
      </w:r>
      <w:r w:rsidR="00296B30" w:rsidRPr="00826C6B">
        <w:rPr>
          <w:rFonts w:ascii="Times New Roman" w:eastAsia="ヒラギノ明朝 Pro W3" w:hAnsi="Times New Roman"/>
          <w:sz w:val="24"/>
          <w:szCs w:val="24"/>
          <w:lang w:eastAsia="tr-TR"/>
        </w:rPr>
        <w:t xml:space="preserve">şirket hesaplarına intikal eden </w:t>
      </w:r>
      <w:r w:rsidR="00853A6E" w:rsidRPr="00826C6B">
        <w:rPr>
          <w:rFonts w:ascii="Times New Roman" w:eastAsia="ヒラギノ明朝 Pro W3" w:hAnsi="Times New Roman"/>
          <w:sz w:val="24"/>
          <w:szCs w:val="24"/>
          <w:lang w:eastAsia="tr-TR"/>
        </w:rPr>
        <w:t>katkı payları ve bu katkı payı ödemeleri ile ulaşılan birikimler üzerinden yapılan kesintiler esas alınır</w:t>
      </w:r>
      <w:r w:rsidR="00602880" w:rsidRPr="00826C6B">
        <w:rPr>
          <w:rFonts w:ascii="Times New Roman" w:eastAsia="ヒラギノ明朝 Pro W3" w:hAnsi="Times New Roman"/>
          <w:sz w:val="24"/>
          <w:szCs w:val="24"/>
          <w:lang w:eastAsia="tr-TR"/>
        </w:rPr>
        <w:t xml:space="preserve"> ve hesaplamalar aşağıdaki örneğe uygun şekilde yapılır</w:t>
      </w:r>
      <w:r w:rsidR="00853A6E" w:rsidRPr="00826C6B">
        <w:rPr>
          <w:rFonts w:ascii="Times New Roman" w:eastAsia="ヒラギノ明朝 Pro W3" w:hAnsi="Times New Roman"/>
          <w:sz w:val="24"/>
          <w:szCs w:val="24"/>
          <w:lang w:eastAsia="tr-TR"/>
        </w:rPr>
        <w:t>.</w:t>
      </w:r>
      <w:r w:rsidR="000A0190" w:rsidRPr="00826C6B">
        <w:rPr>
          <w:rFonts w:ascii="Times New Roman" w:eastAsia="ヒラギノ明朝 Pro W3" w:hAnsi="Times New Roman"/>
          <w:sz w:val="24"/>
          <w:szCs w:val="24"/>
          <w:lang w:eastAsia="tr-TR"/>
        </w:rPr>
        <w:t xml:space="preserve"> </w:t>
      </w:r>
    </w:p>
    <w:p w:rsidR="00A07F7B" w:rsidRDefault="00A07F7B" w:rsidP="00E2653A">
      <w:pPr>
        <w:pStyle w:val="ListeParagraf"/>
        <w:rPr>
          <w:rFonts w:ascii="Times New Roman" w:eastAsia="ヒラギノ明朝 Pro W3" w:hAnsi="Times New Roman"/>
          <w:sz w:val="24"/>
          <w:szCs w:val="24"/>
          <w:lang w:eastAsia="tr-TR"/>
        </w:rPr>
      </w:pPr>
    </w:p>
    <w:p w:rsidR="00A853AE" w:rsidRDefault="00E2653A" w:rsidP="00E2653A">
      <w:pPr>
        <w:pStyle w:val="ListeParagraf"/>
        <w:tabs>
          <w:tab w:val="left" w:pos="709"/>
        </w:tabs>
        <w:spacing w:after="0" w:line="240" w:lineRule="auto"/>
        <w:ind w:left="0"/>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ab/>
      </w:r>
      <w:r w:rsidR="00A07F7B" w:rsidRPr="00A07F7B">
        <w:rPr>
          <w:rFonts w:ascii="Times New Roman" w:eastAsia="ヒラギノ明朝 Pro W3" w:hAnsi="Times New Roman"/>
          <w:sz w:val="24"/>
          <w:szCs w:val="24"/>
          <w:lang w:eastAsia="tr-TR"/>
        </w:rPr>
        <w:t>01.01.2016 tarihindeki birikim tutarının 15.000 TL olduğu bir sözleşme için;</w:t>
      </w:r>
    </w:p>
    <w:p w:rsidR="007B4351" w:rsidRPr="00826C6B" w:rsidRDefault="007B4351" w:rsidP="00E2653A">
      <w:pPr>
        <w:pStyle w:val="ListeParagraf"/>
        <w:tabs>
          <w:tab w:val="left" w:pos="709"/>
        </w:tabs>
        <w:spacing w:after="0" w:line="240" w:lineRule="auto"/>
        <w:ind w:left="0"/>
        <w:jc w:val="both"/>
        <w:rPr>
          <w:rFonts w:ascii="Times New Roman" w:eastAsia="Times New Roman" w:hAnsi="Times New Roman"/>
          <w:sz w:val="24"/>
          <w:szCs w:val="24"/>
          <w:lang w:eastAsia="tr-TR"/>
        </w:rPr>
      </w:pPr>
    </w:p>
    <w:p w:rsid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r w:rsidRPr="007B4351">
        <w:rPr>
          <w:rFonts w:ascii="Times New Roman" w:eastAsia="Times New Roman" w:hAnsi="Times New Roman"/>
          <w:sz w:val="24"/>
          <w:szCs w:val="24"/>
          <w:lang w:eastAsia="tr-TR"/>
        </w:rPr>
        <w:t xml:space="preserve">a) 01.01.2016 tarihinde şirketin sunmuş olduğu standart fonlardan, katılımcının fon tercihine göre belirlenecek standart fonun pay adetlerinden 15.000 TL ile ne kadar alınabileceği belirlenir ve bu adetler şirket sistemine kaydedilir. (tam sayı olmayan pay adetleri dikkate alınmaz). </w:t>
      </w:r>
    </w:p>
    <w:p w:rsidR="007B4351" w:rsidRP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p>
    <w:p w:rsid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r w:rsidRPr="007B4351">
        <w:rPr>
          <w:rFonts w:ascii="Times New Roman" w:eastAsia="Times New Roman" w:hAnsi="Times New Roman"/>
          <w:sz w:val="24"/>
          <w:szCs w:val="24"/>
          <w:lang w:eastAsia="tr-TR"/>
        </w:rPr>
        <w:t xml:space="preserve">b) Kontrol tarihi itibarıyla, ilgili fona ait pay değerleri ile 01.01.2016’daki pay adetlerinin çarpılması suretiyle 15.000 TL’nin kontrol tarihi itibarıyla ulaştığı getiri </w:t>
      </w:r>
      <w:proofErr w:type="gramStart"/>
      <w:r w:rsidRPr="007B4351">
        <w:rPr>
          <w:rFonts w:ascii="Times New Roman" w:eastAsia="Times New Roman" w:hAnsi="Times New Roman"/>
          <w:sz w:val="24"/>
          <w:szCs w:val="24"/>
          <w:lang w:eastAsia="tr-TR"/>
        </w:rPr>
        <w:t>dahil</w:t>
      </w:r>
      <w:proofErr w:type="gramEnd"/>
      <w:r w:rsidRPr="007B4351">
        <w:rPr>
          <w:rFonts w:ascii="Times New Roman" w:eastAsia="Times New Roman" w:hAnsi="Times New Roman"/>
          <w:sz w:val="24"/>
          <w:szCs w:val="24"/>
          <w:lang w:eastAsia="tr-TR"/>
        </w:rPr>
        <w:t xml:space="preserve"> toplam birikim tutarı belirlenir. </w:t>
      </w:r>
    </w:p>
    <w:p w:rsidR="007B4351" w:rsidRP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p>
    <w:p w:rsid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r w:rsidRPr="007B4351">
        <w:rPr>
          <w:rFonts w:ascii="Times New Roman" w:eastAsia="Times New Roman" w:hAnsi="Times New Roman"/>
          <w:sz w:val="24"/>
          <w:szCs w:val="24"/>
          <w:lang w:eastAsia="tr-TR"/>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7B4351" w:rsidRPr="007B4351"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p>
    <w:p w:rsidR="007B4351" w:rsidRDefault="007B4351" w:rsidP="007B4351">
      <w:pPr>
        <w:pStyle w:val="ListeParagraf"/>
        <w:tabs>
          <w:tab w:val="left" w:pos="709"/>
        </w:tabs>
        <w:spacing w:after="0" w:line="240" w:lineRule="auto"/>
        <w:jc w:val="both"/>
      </w:pPr>
      <w:r w:rsidRPr="007B4351">
        <w:rPr>
          <w:rFonts w:ascii="Times New Roman" w:eastAsia="Times New Roman" w:hAnsi="Times New Roman"/>
          <w:sz w:val="24"/>
          <w:szCs w:val="24"/>
          <w:lang w:eastAsia="tr-TR"/>
        </w:rPr>
        <w:t>d) (b)’de hesaplanan birikim tutarı ile (c)’de hesaplanan kesinti tutarının toplamı, anılan kontrolden muaf tutulur.</w:t>
      </w:r>
      <w:r w:rsidRPr="007B4351">
        <w:t xml:space="preserve"> </w:t>
      </w:r>
    </w:p>
    <w:p w:rsidR="007B4351" w:rsidRDefault="007B4351" w:rsidP="007B4351">
      <w:pPr>
        <w:pStyle w:val="ListeParagraf"/>
        <w:tabs>
          <w:tab w:val="left" w:pos="709"/>
        </w:tabs>
        <w:spacing w:after="0" w:line="240" w:lineRule="auto"/>
        <w:jc w:val="both"/>
      </w:pPr>
    </w:p>
    <w:p w:rsidR="003F47F9" w:rsidRDefault="007B4351" w:rsidP="007B4351">
      <w:pPr>
        <w:pStyle w:val="ListeParagraf"/>
        <w:tabs>
          <w:tab w:val="left" w:pos="709"/>
        </w:tabs>
        <w:spacing w:after="0" w:line="240" w:lineRule="auto"/>
        <w:jc w:val="both"/>
        <w:rPr>
          <w:rFonts w:ascii="Times New Roman" w:eastAsia="Times New Roman" w:hAnsi="Times New Roman"/>
          <w:sz w:val="24"/>
          <w:szCs w:val="24"/>
          <w:lang w:eastAsia="tr-TR"/>
        </w:rPr>
      </w:pPr>
      <w:r w:rsidRPr="007B4351">
        <w:rPr>
          <w:rFonts w:ascii="Times New Roman" w:eastAsia="Times New Roman" w:hAnsi="Times New Roman"/>
          <w:sz w:val="24"/>
          <w:szCs w:val="24"/>
          <w:lang w:eastAsia="tr-TR"/>
        </w:rPr>
        <w:t xml:space="preserve">İlgili standart fonun dönüştürülmesi, tasfiyesi vb. durumunda, anılan kontrole ilişkin yapılacak uygulama Hazine Müsteşarlığının onayına tabi olup, şirketler söz konusu dönüşüm veya tasfiye işlemi öncesinde kontrolün aksamamasını </w:t>
      </w:r>
      <w:proofErr w:type="spellStart"/>
      <w:r w:rsidRPr="007B4351">
        <w:rPr>
          <w:rFonts w:ascii="Times New Roman" w:eastAsia="Times New Roman" w:hAnsi="Times New Roman"/>
          <w:sz w:val="24"/>
          <w:szCs w:val="24"/>
          <w:lang w:eastAsia="tr-TR"/>
        </w:rPr>
        <w:t>teminen</w:t>
      </w:r>
      <w:proofErr w:type="spellEnd"/>
      <w:r w:rsidRPr="007B4351">
        <w:rPr>
          <w:rFonts w:ascii="Times New Roman" w:eastAsia="Times New Roman" w:hAnsi="Times New Roman"/>
          <w:sz w:val="24"/>
          <w:szCs w:val="24"/>
          <w:lang w:eastAsia="tr-TR"/>
        </w:rPr>
        <w:t xml:space="preserve"> gerekli tedbirleri almakla yükümlüdür.</w:t>
      </w:r>
    </w:p>
    <w:p w:rsidR="00E2653A" w:rsidRPr="000E36C0" w:rsidRDefault="00E2653A" w:rsidP="007B4351">
      <w:pPr>
        <w:pStyle w:val="ListeParagraf"/>
        <w:tabs>
          <w:tab w:val="left" w:pos="709"/>
        </w:tabs>
        <w:spacing w:after="0" w:line="240" w:lineRule="auto"/>
        <w:jc w:val="both"/>
        <w:rPr>
          <w:rFonts w:ascii="Times New Roman" w:eastAsia="Times New Roman" w:hAnsi="Times New Roman"/>
          <w:sz w:val="24"/>
          <w:szCs w:val="24"/>
          <w:lang w:eastAsia="tr-TR"/>
        </w:rPr>
      </w:pPr>
    </w:p>
    <w:p w:rsidR="00B97C8F" w:rsidRDefault="004B7763" w:rsidP="00E74993">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r w:rsidRPr="00D33CEB">
        <w:rPr>
          <w:rFonts w:ascii="Times New Roman" w:eastAsia="Times New Roman" w:hAnsi="Times New Roman"/>
          <w:sz w:val="24"/>
          <w:szCs w:val="24"/>
          <w:u w:val="single"/>
          <w:lang w:eastAsia="tr-TR"/>
        </w:rPr>
        <w:t>Sözleşmede yer alan devlet katkısı tutarı ile ilişkilendirilen</w:t>
      </w:r>
      <w:r>
        <w:rPr>
          <w:rFonts w:ascii="Times New Roman" w:eastAsia="Times New Roman" w:hAnsi="Times New Roman"/>
          <w:sz w:val="24"/>
          <w:szCs w:val="24"/>
          <w:lang w:eastAsia="tr-TR"/>
        </w:rPr>
        <w:t>, kesintilere yönelik</w:t>
      </w:r>
      <w:r w:rsidR="00B97C8F">
        <w:rPr>
          <w:rFonts w:ascii="Times New Roman" w:eastAsia="Times New Roman" w:hAnsi="Times New Roman"/>
          <w:sz w:val="24"/>
          <w:szCs w:val="24"/>
          <w:lang w:eastAsia="tr-TR"/>
        </w:rPr>
        <w:t xml:space="preserve"> üst sınır kontrolünde, </w:t>
      </w:r>
      <w:r>
        <w:rPr>
          <w:rFonts w:ascii="Times New Roman" w:eastAsia="Times New Roman" w:hAnsi="Times New Roman"/>
          <w:sz w:val="24"/>
          <w:szCs w:val="24"/>
          <w:lang w:eastAsia="tr-TR"/>
        </w:rPr>
        <w:t>şirket tarafından kontrol tarihine kadar yapılmış</w:t>
      </w:r>
      <w:r w:rsidR="00CB77D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olan </w:t>
      </w:r>
      <w:r w:rsidR="00CB77D7">
        <w:rPr>
          <w:rFonts w:ascii="Times New Roman" w:eastAsia="Times New Roman" w:hAnsi="Times New Roman"/>
          <w:sz w:val="24"/>
          <w:szCs w:val="24"/>
          <w:lang w:eastAsia="tr-TR"/>
        </w:rPr>
        <w:t>toplam</w:t>
      </w:r>
      <w:r w:rsidR="00B97C8F">
        <w:rPr>
          <w:rFonts w:ascii="Times New Roman" w:eastAsia="Times New Roman" w:hAnsi="Times New Roman"/>
          <w:sz w:val="24"/>
          <w:szCs w:val="24"/>
          <w:lang w:eastAsia="tr-TR"/>
        </w:rPr>
        <w:t xml:space="preserve"> kesinti tutarı</w:t>
      </w:r>
      <w:r w:rsidR="007F5753">
        <w:rPr>
          <w:rFonts w:ascii="Times New Roman" w:eastAsia="Times New Roman" w:hAnsi="Times New Roman"/>
          <w:sz w:val="24"/>
          <w:szCs w:val="24"/>
          <w:lang w:eastAsia="tr-TR"/>
        </w:rPr>
        <w:t xml:space="preserve"> dikkate alınır;</w:t>
      </w:r>
      <w:r w:rsidR="00B97C8F">
        <w:rPr>
          <w:rFonts w:ascii="Times New Roman" w:eastAsia="Times New Roman" w:hAnsi="Times New Roman"/>
          <w:sz w:val="24"/>
          <w:szCs w:val="24"/>
          <w:lang w:eastAsia="tr-TR"/>
        </w:rPr>
        <w:t xml:space="preserve"> şirketç</w:t>
      </w:r>
      <w:r w:rsidR="00A67362">
        <w:rPr>
          <w:rFonts w:ascii="Times New Roman" w:eastAsia="Times New Roman" w:hAnsi="Times New Roman"/>
          <w:sz w:val="24"/>
          <w:szCs w:val="24"/>
          <w:lang w:eastAsia="tr-TR"/>
        </w:rPr>
        <w:t xml:space="preserve">e </w:t>
      </w:r>
      <w:r>
        <w:rPr>
          <w:rFonts w:ascii="Times New Roman" w:eastAsia="Times New Roman" w:hAnsi="Times New Roman"/>
          <w:sz w:val="24"/>
          <w:szCs w:val="24"/>
          <w:lang w:eastAsia="tr-TR"/>
        </w:rPr>
        <w:t xml:space="preserve">bu tarihe </w:t>
      </w:r>
      <w:r w:rsidR="00715559">
        <w:rPr>
          <w:rFonts w:ascii="Times New Roman" w:eastAsia="Times New Roman" w:hAnsi="Times New Roman"/>
          <w:sz w:val="24"/>
          <w:szCs w:val="24"/>
          <w:lang w:eastAsia="tr-TR"/>
        </w:rPr>
        <w:t xml:space="preserve">kadar </w:t>
      </w:r>
      <w:r w:rsidR="00A67362">
        <w:rPr>
          <w:rFonts w:ascii="Times New Roman" w:eastAsia="Times New Roman" w:hAnsi="Times New Roman"/>
          <w:sz w:val="24"/>
          <w:szCs w:val="24"/>
          <w:lang w:eastAsia="tr-TR"/>
        </w:rPr>
        <w:t>yapılmış olan</w:t>
      </w:r>
      <w:r w:rsidR="00572B6D">
        <w:rPr>
          <w:rFonts w:ascii="Times New Roman" w:eastAsia="Times New Roman" w:hAnsi="Times New Roman"/>
          <w:sz w:val="24"/>
          <w:szCs w:val="24"/>
          <w:lang w:eastAsia="tr-TR"/>
        </w:rPr>
        <w:t xml:space="preserve">, </w:t>
      </w:r>
      <w:r w:rsidR="005605A9">
        <w:rPr>
          <w:rFonts w:ascii="Times New Roman" w:eastAsia="Times New Roman" w:hAnsi="Times New Roman"/>
          <w:sz w:val="24"/>
          <w:szCs w:val="24"/>
          <w:lang w:eastAsia="tr-TR"/>
        </w:rPr>
        <w:t xml:space="preserve">Yönetmeliğe göre yapılması </w:t>
      </w:r>
      <w:r w:rsidR="00572B6D">
        <w:rPr>
          <w:rFonts w:ascii="Times New Roman" w:eastAsia="Times New Roman" w:hAnsi="Times New Roman"/>
          <w:sz w:val="24"/>
          <w:szCs w:val="24"/>
          <w:lang w:eastAsia="tr-TR"/>
        </w:rPr>
        <w:t>zorunlu iadeler dışındaki</w:t>
      </w:r>
      <w:r w:rsidR="00B97C8F">
        <w:rPr>
          <w:rFonts w:ascii="Times New Roman" w:eastAsia="Times New Roman" w:hAnsi="Times New Roman"/>
          <w:sz w:val="24"/>
          <w:szCs w:val="24"/>
          <w:lang w:eastAsia="tr-TR"/>
        </w:rPr>
        <w:t xml:space="preserve"> kesinti iadeleri</w:t>
      </w:r>
      <w:r w:rsidR="00CB77D7">
        <w:rPr>
          <w:rFonts w:ascii="Times New Roman" w:eastAsia="Times New Roman" w:hAnsi="Times New Roman"/>
          <w:sz w:val="24"/>
          <w:szCs w:val="24"/>
          <w:lang w:eastAsia="tr-TR"/>
        </w:rPr>
        <w:t xml:space="preserve">, </w:t>
      </w:r>
      <w:r w:rsidR="00DC0389">
        <w:rPr>
          <w:rFonts w:ascii="Times New Roman" w:eastAsia="Times New Roman" w:hAnsi="Times New Roman"/>
          <w:sz w:val="24"/>
          <w:szCs w:val="24"/>
          <w:lang w:eastAsia="tr-TR"/>
        </w:rPr>
        <w:t>kesinti tutarına ilişkin</w:t>
      </w:r>
      <w:r w:rsidR="00CB77D7">
        <w:rPr>
          <w:rFonts w:ascii="Times New Roman" w:eastAsia="Times New Roman" w:hAnsi="Times New Roman"/>
          <w:sz w:val="24"/>
          <w:szCs w:val="24"/>
          <w:lang w:eastAsia="tr-TR"/>
        </w:rPr>
        <w:t xml:space="preserve"> hesaplamaya </w:t>
      </w:r>
      <w:proofErr w:type="gramStart"/>
      <w:r w:rsidR="00CB77D7">
        <w:rPr>
          <w:rFonts w:ascii="Times New Roman" w:eastAsia="Times New Roman" w:hAnsi="Times New Roman"/>
          <w:sz w:val="24"/>
          <w:szCs w:val="24"/>
          <w:lang w:eastAsia="tr-TR"/>
        </w:rPr>
        <w:t>dahil</w:t>
      </w:r>
      <w:proofErr w:type="gramEnd"/>
      <w:r w:rsidR="00572B6D">
        <w:rPr>
          <w:rFonts w:ascii="Times New Roman" w:eastAsia="Times New Roman" w:hAnsi="Times New Roman"/>
          <w:sz w:val="24"/>
          <w:szCs w:val="24"/>
          <w:lang w:eastAsia="tr-TR"/>
        </w:rPr>
        <w:t xml:space="preserve"> edilmez</w:t>
      </w:r>
      <w:r w:rsidR="00CB77D7">
        <w:rPr>
          <w:rFonts w:ascii="Times New Roman" w:eastAsia="Times New Roman" w:hAnsi="Times New Roman"/>
          <w:sz w:val="24"/>
          <w:szCs w:val="24"/>
          <w:lang w:eastAsia="tr-TR"/>
        </w:rPr>
        <w:t>.</w:t>
      </w:r>
      <w:r w:rsidR="003F6BFB">
        <w:rPr>
          <w:rFonts w:ascii="Times New Roman" w:eastAsia="Times New Roman" w:hAnsi="Times New Roman"/>
          <w:sz w:val="24"/>
          <w:szCs w:val="24"/>
          <w:lang w:eastAsia="tr-TR"/>
        </w:rPr>
        <w:t xml:space="preserve"> </w:t>
      </w:r>
      <w:r w:rsidR="00CC02CE" w:rsidRPr="00CC02CE">
        <w:rPr>
          <w:rFonts w:ascii="Times New Roman" w:eastAsia="Times New Roman" w:hAnsi="Times New Roman"/>
          <w:sz w:val="24"/>
          <w:szCs w:val="24"/>
          <w:lang w:eastAsia="tr-TR"/>
        </w:rPr>
        <w:t xml:space="preserve"> </w:t>
      </w:r>
      <w:r w:rsidR="00CC02CE">
        <w:rPr>
          <w:rFonts w:ascii="Times New Roman" w:eastAsia="Times New Roman" w:hAnsi="Times New Roman"/>
          <w:sz w:val="24"/>
          <w:szCs w:val="24"/>
          <w:lang w:eastAsia="tr-TR"/>
        </w:rPr>
        <w:t>Örneğin, kontrol tarihine kadar 100 TL tutarında kesinti yapılmış ve 5 TL tutarında ek fayda kapsamında ve 2 TL tutarında zorunlu iade kapsamında kesinti iadesi gerçekleşmişse, üst sınır kontrolünde anılan döneme kadar yapılan kesinti tutarı olarak, 98 TL dikkate alınır.</w:t>
      </w:r>
    </w:p>
    <w:p w:rsidR="00A853AE"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7E0C9A" w:rsidRPr="007E0C9A" w:rsidRDefault="0018038C" w:rsidP="00E74993">
      <w:pPr>
        <w:pStyle w:val="ListeParagraf"/>
        <w:numPr>
          <w:ilvl w:val="0"/>
          <w:numId w:val="31"/>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Yönetmeliğin ekinde (Ek-3) yer alan tabloda belirtilen, </w:t>
      </w:r>
      <w:r w:rsidR="00294554">
        <w:rPr>
          <w:rFonts w:ascii="Times New Roman" w:eastAsia="Times New Roman" w:hAnsi="Times New Roman"/>
          <w:sz w:val="24"/>
          <w:szCs w:val="24"/>
          <w:lang w:eastAsia="tr-TR"/>
        </w:rPr>
        <w:t>yönetim gider kesintisi ile giriş aidatı toplam tutarının</w:t>
      </w:r>
      <w:r>
        <w:rPr>
          <w:rFonts w:ascii="Times New Roman" w:eastAsia="Times New Roman" w:hAnsi="Times New Roman"/>
          <w:sz w:val="24"/>
          <w:szCs w:val="24"/>
          <w:lang w:eastAsia="tr-TR"/>
        </w:rPr>
        <w:t xml:space="preserve"> üst sınırına yönelik kontrol, her sözleşme yılı sonunda ve</w:t>
      </w:r>
      <w:r w:rsidR="007E0C9A" w:rsidRPr="007E0C9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ayrıca sözleşmenin sonlandırılması durumunda (başka bir şirkete aktarım veya </w:t>
      </w:r>
      <w:r w:rsidR="00997100">
        <w:rPr>
          <w:rFonts w:ascii="Times New Roman" w:eastAsia="Times New Roman" w:hAnsi="Times New Roman"/>
          <w:sz w:val="24"/>
          <w:szCs w:val="24"/>
          <w:lang w:eastAsia="tr-TR"/>
        </w:rPr>
        <w:t>emeklilik gelir planına geçiş</w:t>
      </w:r>
      <w:r w:rsidR="005A18AC">
        <w:rPr>
          <w:rFonts w:ascii="Times New Roman" w:eastAsia="Times New Roman" w:hAnsi="Times New Roman"/>
          <w:sz w:val="24"/>
          <w:szCs w:val="24"/>
          <w:lang w:eastAsia="tr-TR"/>
        </w:rPr>
        <w:t xml:space="preserve"> </w:t>
      </w:r>
      <w:proofErr w:type="gramStart"/>
      <w:r w:rsidR="005A18AC">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w:t>
      </w:r>
      <w:r w:rsidR="00294554">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sözleşmede yer alan devlet katk</w:t>
      </w:r>
      <w:r w:rsidR="00294554">
        <w:rPr>
          <w:rFonts w:ascii="Times New Roman" w:eastAsia="Times New Roman" w:hAnsi="Times New Roman"/>
          <w:sz w:val="24"/>
          <w:szCs w:val="24"/>
          <w:lang w:eastAsia="tr-TR"/>
        </w:rPr>
        <w:t>ısı tutarı ile ilişkilendirilen,</w:t>
      </w:r>
      <w:r>
        <w:rPr>
          <w:rFonts w:ascii="Times New Roman" w:eastAsia="Times New Roman" w:hAnsi="Times New Roman"/>
          <w:sz w:val="24"/>
          <w:szCs w:val="24"/>
          <w:lang w:eastAsia="tr-TR"/>
        </w:rPr>
        <w:t xml:space="preserve"> </w:t>
      </w:r>
      <w:r w:rsidR="00294554">
        <w:rPr>
          <w:rFonts w:ascii="Times New Roman" w:eastAsia="Times New Roman" w:hAnsi="Times New Roman"/>
          <w:sz w:val="24"/>
          <w:szCs w:val="24"/>
          <w:lang w:eastAsia="tr-TR"/>
        </w:rPr>
        <w:t>k</w:t>
      </w:r>
      <w:r>
        <w:rPr>
          <w:rFonts w:ascii="Times New Roman" w:eastAsia="Times New Roman" w:hAnsi="Times New Roman"/>
          <w:sz w:val="24"/>
          <w:szCs w:val="24"/>
          <w:lang w:eastAsia="tr-TR"/>
        </w:rPr>
        <w:t>esintilere yönelik üst sınır kontrolü</w:t>
      </w:r>
      <w:r w:rsidR="007E0C9A" w:rsidRPr="007E0C9A">
        <w:rPr>
          <w:rFonts w:ascii="Times New Roman" w:eastAsia="Times New Roman" w:hAnsi="Times New Roman"/>
          <w:sz w:val="24"/>
          <w:szCs w:val="24"/>
          <w:lang w:eastAsia="tr-TR"/>
        </w:rPr>
        <w:t xml:space="preserve"> </w:t>
      </w:r>
      <w:r w:rsidR="00294554">
        <w:rPr>
          <w:rFonts w:ascii="Times New Roman" w:eastAsia="Times New Roman" w:hAnsi="Times New Roman"/>
          <w:sz w:val="24"/>
          <w:szCs w:val="24"/>
          <w:lang w:eastAsia="tr-TR"/>
        </w:rPr>
        <w:t xml:space="preserve">ise </w:t>
      </w:r>
      <w:r w:rsidR="007E0C9A" w:rsidRPr="007E0C9A">
        <w:rPr>
          <w:rFonts w:ascii="Times New Roman" w:eastAsia="Times New Roman" w:hAnsi="Times New Roman"/>
          <w:sz w:val="24"/>
          <w:szCs w:val="24"/>
          <w:lang w:eastAsia="tr-TR"/>
        </w:rPr>
        <w:t>yalnızca sözleşme</w:t>
      </w:r>
      <w:r w:rsidR="00294554">
        <w:rPr>
          <w:rFonts w:ascii="Times New Roman" w:eastAsia="Times New Roman" w:hAnsi="Times New Roman"/>
          <w:sz w:val="24"/>
          <w:szCs w:val="24"/>
          <w:lang w:eastAsia="tr-TR"/>
        </w:rPr>
        <w:t>nin</w:t>
      </w:r>
      <w:r w:rsidR="007E0C9A" w:rsidRPr="007E0C9A">
        <w:rPr>
          <w:rFonts w:ascii="Times New Roman" w:eastAsia="Times New Roman" w:hAnsi="Times New Roman"/>
          <w:sz w:val="24"/>
          <w:szCs w:val="24"/>
          <w:lang w:eastAsia="tr-TR"/>
        </w:rPr>
        <w:t xml:space="preserve"> sonlandırılma</w:t>
      </w:r>
      <w:r w:rsidR="00294554">
        <w:rPr>
          <w:rFonts w:ascii="Times New Roman" w:eastAsia="Times New Roman" w:hAnsi="Times New Roman"/>
          <w:sz w:val="24"/>
          <w:szCs w:val="24"/>
          <w:lang w:eastAsia="tr-TR"/>
        </w:rPr>
        <w:t>sı</w:t>
      </w:r>
      <w:r w:rsidR="007E0C9A" w:rsidRPr="007E0C9A">
        <w:rPr>
          <w:rFonts w:ascii="Times New Roman" w:eastAsia="Times New Roman" w:hAnsi="Times New Roman"/>
          <w:sz w:val="24"/>
          <w:szCs w:val="24"/>
          <w:lang w:eastAsia="tr-TR"/>
        </w:rPr>
        <w:t xml:space="preserve"> </w:t>
      </w:r>
      <w:r w:rsidR="00294554">
        <w:rPr>
          <w:rFonts w:ascii="Times New Roman" w:eastAsia="Times New Roman" w:hAnsi="Times New Roman"/>
          <w:sz w:val="24"/>
          <w:szCs w:val="24"/>
          <w:lang w:eastAsia="tr-TR"/>
        </w:rPr>
        <w:t>durumunda yapılır.</w:t>
      </w:r>
    </w:p>
    <w:p w:rsidR="005760C7" w:rsidRDefault="005760C7" w:rsidP="00E2653A">
      <w:pPr>
        <w:spacing w:after="0" w:line="240" w:lineRule="auto"/>
        <w:jc w:val="both"/>
        <w:rPr>
          <w:rFonts w:ascii="Times New Roman" w:eastAsia="ヒラギノ明朝 Pro W3" w:hAnsi="Times New Roman"/>
          <w:sz w:val="24"/>
          <w:szCs w:val="24"/>
          <w:lang w:eastAsia="tr-TR"/>
        </w:rPr>
      </w:pPr>
    </w:p>
    <w:p w:rsidR="005760C7" w:rsidRDefault="005760C7" w:rsidP="00560718">
      <w:pPr>
        <w:spacing w:after="0" w:line="240" w:lineRule="auto"/>
        <w:ind w:left="1080"/>
        <w:jc w:val="both"/>
        <w:rPr>
          <w:rFonts w:ascii="Times New Roman" w:eastAsia="ヒラギノ明朝 Pro W3" w:hAnsi="Times New Roman"/>
          <w:sz w:val="24"/>
          <w:szCs w:val="24"/>
          <w:lang w:eastAsia="tr-TR"/>
        </w:rPr>
      </w:pPr>
    </w:p>
    <w:p w:rsidR="005760C7" w:rsidRDefault="005760C7" w:rsidP="00560718">
      <w:pPr>
        <w:spacing w:after="0" w:line="240" w:lineRule="auto"/>
        <w:ind w:left="1080"/>
        <w:jc w:val="both"/>
        <w:rPr>
          <w:rFonts w:ascii="Times New Roman" w:eastAsia="ヒラギノ明朝 Pro W3" w:hAnsi="Times New Roman"/>
          <w:sz w:val="24"/>
          <w:szCs w:val="24"/>
          <w:lang w:eastAsia="tr-TR"/>
        </w:rPr>
      </w:pPr>
    </w:p>
    <w:p w:rsidR="004B6E49" w:rsidRDefault="004C0D1D" w:rsidP="00560718">
      <w:pPr>
        <w:pStyle w:val="ListeParagraf"/>
        <w:numPr>
          <w:ilvl w:val="0"/>
          <w:numId w:val="25"/>
        </w:numPr>
        <w:tabs>
          <w:tab w:val="left" w:pos="851"/>
          <w:tab w:val="left" w:pos="993"/>
        </w:tabs>
        <w:spacing w:after="0" w:line="240" w:lineRule="auto"/>
        <w:jc w:val="both"/>
        <w:rPr>
          <w:rFonts w:ascii="Times New Roman" w:eastAsia="Times New Roman" w:hAnsi="Times New Roman"/>
          <w:b/>
          <w:sz w:val="24"/>
          <w:szCs w:val="24"/>
          <w:lang w:eastAsia="tr-TR"/>
        </w:rPr>
      </w:pPr>
      <w:r w:rsidRPr="004B6E49">
        <w:rPr>
          <w:rFonts w:ascii="Times New Roman" w:eastAsia="Times New Roman" w:hAnsi="Times New Roman"/>
          <w:b/>
          <w:sz w:val="24"/>
          <w:szCs w:val="24"/>
          <w:lang w:eastAsia="tr-TR"/>
        </w:rPr>
        <w:t>Fon toplam gider kesintisinin (FTGK) ia</w:t>
      </w:r>
      <w:r>
        <w:rPr>
          <w:rFonts w:ascii="Times New Roman" w:eastAsia="Times New Roman" w:hAnsi="Times New Roman"/>
          <w:b/>
          <w:sz w:val="24"/>
          <w:szCs w:val="24"/>
          <w:lang w:eastAsia="tr-TR"/>
        </w:rPr>
        <w:t>desi işlemine ilişkin açıklamalar</w:t>
      </w:r>
    </w:p>
    <w:p w:rsidR="0064433B" w:rsidRDefault="0064433B" w:rsidP="00FF23D8">
      <w:pPr>
        <w:spacing w:after="0" w:line="240" w:lineRule="auto"/>
        <w:jc w:val="both"/>
        <w:rPr>
          <w:rFonts w:ascii="Times New Roman" w:eastAsia="Times New Roman" w:hAnsi="Times New Roman"/>
          <w:b/>
          <w:sz w:val="24"/>
          <w:szCs w:val="24"/>
          <w:lang w:eastAsia="tr-TR"/>
        </w:rPr>
      </w:pPr>
    </w:p>
    <w:p w:rsidR="004E3C9A" w:rsidRDefault="00741511" w:rsidP="007B08A1">
      <w:pPr>
        <w:numPr>
          <w:ilvl w:val="0"/>
          <w:numId w:val="28"/>
        </w:numPr>
        <w:spacing w:line="240" w:lineRule="auto"/>
        <w:jc w:val="both"/>
        <w:rPr>
          <w:rFonts w:ascii="Times New Roman" w:eastAsia="Times New Roman" w:hAnsi="Times New Roman"/>
          <w:sz w:val="24"/>
          <w:szCs w:val="24"/>
          <w:lang w:eastAsia="tr-TR"/>
        </w:rPr>
      </w:pPr>
      <w:r w:rsidRPr="00A2096A">
        <w:rPr>
          <w:rFonts w:ascii="Times New Roman" w:eastAsia="Times New Roman" w:hAnsi="Times New Roman"/>
          <w:sz w:val="24"/>
          <w:szCs w:val="24"/>
          <w:lang w:eastAsia="tr-TR"/>
        </w:rPr>
        <w:t>İade, sözleşme bazınd</w:t>
      </w:r>
      <w:r w:rsidR="00ED5570" w:rsidRPr="00A2096A">
        <w:rPr>
          <w:rFonts w:ascii="Times New Roman" w:eastAsia="Times New Roman" w:hAnsi="Times New Roman"/>
          <w:sz w:val="24"/>
          <w:szCs w:val="24"/>
          <w:lang w:eastAsia="tr-TR"/>
        </w:rPr>
        <w:t>a ve sözleşme yıl</w:t>
      </w:r>
      <w:r w:rsidR="00A2096A" w:rsidRPr="00D33CEB">
        <w:rPr>
          <w:rFonts w:ascii="Times New Roman" w:eastAsia="Times New Roman" w:hAnsi="Times New Roman"/>
          <w:sz w:val="24"/>
          <w:szCs w:val="24"/>
          <w:lang w:eastAsia="tr-TR"/>
        </w:rPr>
        <w:t>dönümleri</w:t>
      </w:r>
      <w:r w:rsidR="00ED5570" w:rsidRPr="00A2096A">
        <w:rPr>
          <w:rFonts w:ascii="Times New Roman" w:eastAsia="Times New Roman" w:hAnsi="Times New Roman"/>
          <w:sz w:val="24"/>
          <w:szCs w:val="24"/>
          <w:lang w:eastAsia="tr-TR"/>
        </w:rPr>
        <w:t xml:space="preserve"> esas alınmak</w:t>
      </w:r>
      <w:r w:rsidRPr="00A2096A">
        <w:rPr>
          <w:rFonts w:ascii="Times New Roman" w:eastAsia="Times New Roman" w:hAnsi="Times New Roman"/>
          <w:sz w:val="24"/>
          <w:szCs w:val="24"/>
          <w:lang w:eastAsia="tr-TR"/>
        </w:rPr>
        <w:t xml:space="preserve"> suretiyle yıllık olarak</w:t>
      </w:r>
      <w:r w:rsidR="00ED5570" w:rsidRPr="00A2096A">
        <w:rPr>
          <w:rFonts w:ascii="Times New Roman" w:eastAsia="Times New Roman" w:hAnsi="Times New Roman"/>
          <w:sz w:val="24"/>
          <w:szCs w:val="24"/>
          <w:lang w:eastAsia="tr-TR"/>
        </w:rPr>
        <w:t xml:space="preserve"> </w:t>
      </w:r>
      <w:r w:rsidRPr="00A2096A">
        <w:rPr>
          <w:rFonts w:ascii="Times New Roman" w:eastAsia="Times New Roman" w:hAnsi="Times New Roman"/>
          <w:sz w:val="24"/>
          <w:szCs w:val="24"/>
          <w:lang w:eastAsia="tr-TR"/>
        </w:rPr>
        <w:t>yapılır</w:t>
      </w:r>
      <w:r w:rsidR="00ED5570" w:rsidRPr="00A2096A">
        <w:rPr>
          <w:rFonts w:ascii="Times New Roman" w:eastAsia="Times New Roman" w:hAnsi="Times New Roman"/>
          <w:sz w:val="24"/>
          <w:szCs w:val="24"/>
          <w:lang w:eastAsia="tr-TR"/>
        </w:rPr>
        <w:t>.</w:t>
      </w:r>
      <w:r w:rsidR="00607D0B">
        <w:rPr>
          <w:rFonts w:ascii="Times New Roman" w:eastAsia="Times New Roman" w:hAnsi="Times New Roman"/>
          <w:sz w:val="24"/>
          <w:szCs w:val="24"/>
          <w:lang w:eastAsia="tr-TR"/>
        </w:rPr>
        <w:t xml:space="preserve"> </w:t>
      </w:r>
    </w:p>
    <w:p w:rsidR="00701B2B" w:rsidRDefault="00407506" w:rsidP="00701B2B">
      <w:pPr>
        <w:numPr>
          <w:ilvl w:val="0"/>
          <w:numId w:val="28"/>
        </w:numPr>
        <w:spacing w:after="0" w:line="240" w:lineRule="auto"/>
        <w:jc w:val="both"/>
        <w:rPr>
          <w:rFonts w:ascii="Times New Roman" w:eastAsia="Times New Roman" w:hAnsi="Times New Roman"/>
          <w:sz w:val="24"/>
          <w:szCs w:val="24"/>
          <w:lang w:eastAsia="tr-TR"/>
        </w:rPr>
      </w:pPr>
      <w:r w:rsidRPr="00701B2B">
        <w:rPr>
          <w:rFonts w:ascii="Times New Roman" w:eastAsia="Times New Roman" w:hAnsi="Times New Roman"/>
          <w:sz w:val="24"/>
          <w:szCs w:val="24"/>
          <w:lang w:eastAsia="tr-TR"/>
        </w:rPr>
        <w:t xml:space="preserve">Kesintinin hesaplama tarihi itibarıyla mevcut bulunan birikimin %1,1’inin altında kalan kısmı için iade uygulanmaz. </w:t>
      </w:r>
      <w:proofErr w:type="gramStart"/>
      <w:r w:rsidR="00701B2B">
        <w:rPr>
          <w:rFonts w:ascii="Times New Roman" w:eastAsia="Times New Roman" w:hAnsi="Times New Roman"/>
          <w:sz w:val="24"/>
          <w:szCs w:val="24"/>
          <w:lang w:eastAsia="tr-TR"/>
        </w:rPr>
        <w:t>Örneğin, 100.000 TL birikim tutarı bulunan bir sözleşmede %1,8’lik kesinti oranı ile 1.800 TL kesinti yapılmış ve %25 iade oranı ile 450 TL bir iade tutarı hesaplanmış ise, 100.000 TL’nin %1,1’i olan 1.100 TL ile 1.350 TL karşılaştırılır ve 1.350 TL’nin bu tutarın üzerinde olması sebebiyle 450 TL iade gerçekleştirilir.</w:t>
      </w:r>
      <w:r w:rsidR="00114325">
        <w:rPr>
          <w:rFonts w:ascii="Times New Roman" w:eastAsia="Times New Roman" w:hAnsi="Times New Roman"/>
          <w:sz w:val="24"/>
          <w:szCs w:val="24"/>
          <w:lang w:eastAsia="tr-TR"/>
        </w:rPr>
        <w:t xml:space="preserve"> </w:t>
      </w:r>
      <w:r w:rsidR="00011321">
        <w:rPr>
          <w:rFonts w:ascii="Times New Roman" w:eastAsia="Times New Roman" w:hAnsi="Times New Roman"/>
          <w:sz w:val="24"/>
          <w:szCs w:val="24"/>
          <w:lang w:eastAsia="tr-TR"/>
        </w:rPr>
        <w:t xml:space="preserve">Diğer taraftan, aynı örnekte </w:t>
      </w:r>
      <w:r w:rsidR="00A07D5E">
        <w:rPr>
          <w:rFonts w:ascii="Times New Roman" w:eastAsia="Times New Roman" w:hAnsi="Times New Roman"/>
          <w:sz w:val="24"/>
          <w:szCs w:val="24"/>
          <w:lang w:eastAsia="tr-TR"/>
        </w:rPr>
        <w:t xml:space="preserve">%1,2’lik kesinti oranı ile 1.200 TL kesinti yapılmış ve %25 iade oranı ile 300 TL bir iade tutarı hesaplanmış ise, 100.000 TL’nin %1,1’i olan 1.100 TL ile 900 TL’nin karşılaştırılması sonucu, </w:t>
      </w:r>
      <w:r w:rsidR="00011321">
        <w:rPr>
          <w:rFonts w:ascii="Times New Roman" w:eastAsia="Times New Roman" w:hAnsi="Times New Roman"/>
          <w:sz w:val="24"/>
          <w:szCs w:val="24"/>
          <w:lang w:eastAsia="tr-TR"/>
        </w:rPr>
        <w:t xml:space="preserve">yalnızca 100 TL’lik bir iade gerçekleştirilir ve böylece birikim üzerinden yapılan kesinti oranı %1,1’e çekilmiş olur. </w:t>
      </w:r>
      <w:proofErr w:type="gramEnd"/>
      <w:r w:rsidR="00701B2B" w:rsidRPr="00701B2B">
        <w:rPr>
          <w:rFonts w:ascii="Times New Roman" w:eastAsia="Times New Roman" w:hAnsi="Times New Roman"/>
          <w:sz w:val="24"/>
          <w:szCs w:val="24"/>
          <w:lang w:eastAsia="tr-TR"/>
        </w:rPr>
        <w:t>Ancak, şirketin katılımcı lehine yapacağı uygulamalar saklıdır.</w:t>
      </w:r>
    </w:p>
    <w:p w:rsidR="00DD3B3C" w:rsidRPr="00701B2B" w:rsidRDefault="00680F36" w:rsidP="00701B2B">
      <w:pPr>
        <w:spacing w:after="0" w:line="240" w:lineRule="auto"/>
        <w:ind w:left="720"/>
        <w:jc w:val="both"/>
        <w:rPr>
          <w:rFonts w:ascii="Times New Roman" w:eastAsia="Times New Roman" w:hAnsi="Times New Roman"/>
          <w:sz w:val="24"/>
          <w:szCs w:val="24"/>
          <w:lang w:eastAsia="tr-TR"/>
        </w:rPr>
      </w:pPr>
      <w:r w:rsidRPr="00701B2B">
        <w:rPr>
          <w:rFonts w:ascii="Times New Roman" w:eastAsia="Times New Roman" w:hAnsi="Times New Roman"/>
          <w:sz w:val="24"/>
          <w:szCs w:val="24"/>
          <w:lang w:eastAsia="tr-TR"/>
        </w:rPr>
        <w:t xml:space="preserve"> </w:t>
      </w:r>
    </w:p>
    <w:p w:rsidR="00DD3B3C" w:rsidRDefault="00E74A5A" w:rsidP="00DD3B3C">
      <w:pPr>
        <w:numPr>
          <w:ilvl w:val="0"/>
          <w:numId w:val="28"/>
        </w:numPr>
        <w:spacing w:after="0" w:line="240" w:lineRule="auto"/>
        <w:jc w:val="both"/>
        <w:rPr>
          <w:rFonts w:ascii="Times New Roman" w:eastAsia="ヒラギノ明朝 Pro W3" w:hAnsi="Times New Roman"/>
          <w:sz w:val="24"/>
          <w:szCs w:val="24"/>
          <w:lang w:eastAsia="tr-TR"/>
        </w:rPr>
      </w:pPr>
      <w:r>
        <w:rPr>
          <w:rFonts w:ascii="Times New Roman" w:eastAsia="Times New Roman" w:hAnsi="Times New Roman"/>
          <w:sz w:val="24"/>
          <w:szCs w:val="24"/>
          <w:lang w:eastAsia="tr-TR"/>
        </w:rPr>
        <w:t>İade oranının belirlenmesine ilişkin süre</w:t>
      </w:r>
      <w:r w:rsidR="00680297">
        <w:rPr>
          <w:rFonts w:ascii="Times New Roman" w:eastAsia="Times New Roman" w:hAnsi="Times New Roman"/>
          <w:sz w:val="24"/>
          <w:szCs w:val="24"/>
          <w:lang w:eastAsia="tr-TR"/>
        </w:rPr>
        <w:t>nin</w:t>
      </w:r>
      <w:r>
        <w:rPr>
          <w:rFonts w:ascii="Times New Roman" w:eastAsia="Times New Roman" w:hAnsi="Times New Roman"/>
          <w:sz w:val="24"/>
          <w:szCs w:val="24"/>
          <w:lang w:eastAsia="tr-TR"/>
        </w:rPr>
        <w:t xml:space="preserve"> hesabında</w:t>
      </w:r>
      <w:r w:rsidR="00DD3B3C">
        <w:rPr>
          <w:rFonts w:ascii="Times New Roman" w:eastAsia="Times New Roman" w:hAnsi="Times New Roman"/>
          <w:sz w:val="24"/>
          <w:szCs w:val="24"/>
          <w:lang w:eastAsia="tr-TR"/>
        </w:rPr>
        <w:t xml:space="preserve">, </w:t>
      </w:r>
      <w:r w:rsidR="00423539">
        <w:rPr>
          <w:rFonts w:ascii="Times New Roman" w:eastAsia="ヒラギノ明朝 Pro W3" w:hAnsi="Times New Roman"/>
          <w:sz w:val="24"/>
          <w:szCs w:val="24"/>
          <w:lang w:eastAsia="tr-TR"/>
        </w:rPr>
        <w:t>01.01</w:t>
      </w:r>
      <w:r w:rsidR="00715559">
        <w:rPr>
          <w:rFonts w:ascii="Times New Roman" w:eastAsia="ヒラギノ明朝 Pro W3" w:hAnsi="Times New Roman"/>
          <w:sz w:val="24"/>
          <w:szCs w:val="24"/>
          <w:lang w:eastAsia="tr-TR"/>
        </w:rPr>
        <w:t>.2013 tarihinden itibaren kontrole tabi</w:t>
      </w:r>
      <w:r w:rsidR="00423539">
        <w:rPr>
          <w:rFonts w:ascii="Times New Roman" w:eastAsia="ヒラギノ明朝 Pro W3" w:hAnsi="Times New Roman"/>
          <w:sz w:val="24"/>
          <w:szCs w:val="24"/>
          <w:lang w:eastAsia="tr-TR"/>
        </w:rPr>
        <w:t xml:space="preserve"> sözleşmede geçirilen süre </w:t>
      </w:r>
      <w:r w:rsidR="00DD3B3C" w:rsidRPr="006E2CFD">
        <w:rPr>
          <w:rFonts w:ascii="Times New Roman" w:eastAsia="ヒラギノ明朝 Pro W3" w:hAnsi="Times New Roman"/>
          <w:sz w:val="24"/>
          <w:szCs w:val="24"/>
          <w:lang w:eastAsia="tr-TR"/>
        </w:rPr>
        <w:t>esas alınır.</w:t>
      </w:r>
      <w:r w:rsidR="00423539">
        <w:rPr>
          <w:rFonts w:ascii="Times New Roman" w:eastAsia="ヒラギノ明朝 Pro W3" w:hAnsi="Times New Roman"/>
          <w:sz w:val="24"/>
          <w:szCs w:val="24"/>
          <w:lang w:eastAsia="tr-TR"/>
        </w:rPr>
        <w:t xml:space="preserve"> </w:t>
      </w:r>
      <w:r w:rsidR="00EC1648">
        <w:rPr>
          <w:rFonts w:ascii="Times New Roman" w:eastAsia="ヒラギノ明朝 Pro W3" w:hAnsi="Times New Roman"/>
          <w:sz w:val="24"/>
          <w:szCs w:val="24"/>
          <w:lang w:eastAsia="tr-TR"/>
        </w:rPr>
        <w:t>01.01.2016 tarihinden sonra b</w:t>
      </w:r>
      <w:r w:rsidR="00423539">
        <w:rPr>
          <w:rFonts w:ascii="Times New Roman" w:eastAsia="ヒラギノ明朝 Pro W3" w:hAnsi="Times New Roman"/>
          <w:sz w:val="24"/>
          <w:szCs w:val="24"/>
          <w:lang w:eastAsia="tr-TR"/>
        </w:rPr>
        <w:t>aşka bir şirketten aktarım yoluyla d</w:t>
      </w:r>
      <w:r w:rsidR="0038097F">
        <w:rPr>
          <w:rFonts w:ascii="Times New Roman" w:eastAsia="ヒラギノ明朝 Pro W3" w:hAnsi="Times New Roman"/>
          <w:sz w:val="24"/>
          <w:szCs w:val="24"/>
          <w:lang w:eastAsia="tr-TR"/>
        </w:rPr>
        <w:t>üzenlenen sözleşmeler için önceki</w:t>
      </w:r>
      <w:r w:rsidR="00423539">
        <w:rPr>
          <w:rFonts w:ascii="Times New Roman" w:eastAsia="ヒラギノ明朝 Pro W3" w:hAnsi="Times New Roman"/>
          <w:sz w:val="24"/>
          <w:szCs w:val="24"/>
          <w:lang w:eastAsia="tr-TR"/>
        </w:rPr>
        <w:t xml:space="preserve"> şirketlerde </w:t>
      </w:r>
      <w:r w:rsidR="00A83F7C">
        <w:rPr>
          <w:rFonts w:ascii="Times New Roman" w:eastAsia="ヒラギノ明朝 Pro W3" w:hAnsi="Times New Roman"/>
          <w:sz w:val="24"/>
          <w:szCs w:val="24"/>
          <w:lang w:eastAsia="tr-TR"/>
        </w:rPr>
        <w:t xml:space="preserve">ilgili aktarıma/aktarımlara konu sözleşmelerde </w:t>
      </w:r>
      <w:r w:rsidR="00423539">
        <w:rPr>
          <w:rFonts w:ascii="Times New Roman" w:eastAsia="ヒラギノ明朝 Pro W3" w:hAnsi="Times New Roman"/>
          <w:sz w:val="24"/>
          <w:szCs w:val="24"/>
          <w:lang w:eastAsia="tr-TR"/>
        </w:rPr>
        <w:t xml:space="preserve">geçirilen süreler </w:t>
      </w:r>
      <w:r w:rsidR="005B641D">
        <w:rPr>
          <w:rFonts w:ascii="Times New Roman" w:eastAsia="ヒラギノ明朝 Pro W3" w:hAnsi="Times New Roman"/>
          <w:sz w:val="24"/>
          <w:szCs w:val="24"/>
          <w:lang w:eastAsia="tr-TR"/>
        </w:rPr>
        <w:t xml:space="preserve">de </w:t>
      </w:r>
      <w:r w:rsidR="00423539">
        <w:rPr>
          <w:rFonts w:ascii="Times New Roman" w:eastAsia="ヒラギノ明朝 Pro W3" w:hAnsi="Times New Roman"/>
          <w:sz w:val="24"/>
          <w:szCs w:val="24"/>
          <w:lang w:eastAsia="tr-TR"/>
        </w:rPr>
        <w:t>dikkate alınır.</w:t>
      </w:r>
      <w:r w:rsidR="003E6F7C">
        <w:rPr>
          <w:rFonts w:ascii="Times New Roman" w:eastAsia="ヒラギノ明朝 Pro W3" w:hAnsi="Times New Roman"/>
          <w:sz w:val="24"/>
          <w:szCs w:val="24"/>
          <w:lang w:eastAsia="tr-TR"/>
        </w:rPr>
        <w:t xml:space="preserve"> 01.01.2016 tarihinden önce başka şirketten aktarım yoluyla düzenlenen sözleşmeler için önceki şirketlerde ilgili aktarıma/aktarımlara konu sözleşmelerde geçirilen süreler dikkate alınmaz.</w:t>
      </w:r>
    </w:p>
    <w:p w:rsidR="00DD3B3C" w:rsidRDefault="00DD3B3C" w:rsidP="00DD3B3C">
      <w:pPr>
        <w:spacing w:after="0" w:line="240" w:lineRule="auto"/>
        <w:ind w:left="720"/>
        <w:jc w:val="both"/>
        <w:rPr>
          <w:rFonts w:ascii="Times New Roman" w:eastAsia="Times New Roman" w:hAnsi="Times New Roman"/>
          <w:sz w:val="24"/>
          <w:szCs w:val="24"/>
          <w:lang w:eastAsia="tr-TR"/>
        </w:rPr>
      </w:pPr>
    </w:p>
    <w:p w:rsidR="00A853AE" w:rsidRDefault="00423539" w:rsidP="00A853AE">
      <w:pPr>
        <w:spacing w:after="0" w:line="240" w:lineRule="auto"/>
        <w:ind w:left="720"/>
        <w:jc w:val="both"/>
        <w:rPr>
          <w:rFonts w:ascii="Times New Roman" w:eastAsia="ヒラギノ明朝 Pro W3" w:hAnsi="Times New Roman"/>
          <w:sz w:val="24"/>
          <w:szCs w:val="24"/>
          <w:lang w:eastAsia="tr-TR"/>
        </w:rPr>
      </w:pPr>
      <w:r w:rsidRPr="00950FAE">
        <w:rPr>
          <w:rFonts w:ascii="Times New Roman" w:eastAsia="Times New Roman" w:hAnsi="Times New Roman"/>
          <w:sz w:val="24"/>
          <w:szCs w:val="24"/>
          <w:lang w:eastAsia="tr-TR"/>
        </w:rPr>
        <w:t>Emeklilik gelir planları, iade uygulaması kapsamındadır.</w:t>
      </w:r>
      <w:r w:rsidR="00E36456" w:rsidRPr="00950FAE">
        <w:rPr>
          <w:rFonts w:ascii="Times New Roman" w:eastAsia="Times New Roman" w:hAnsi="Times New Roman"/>
          <w:sz w:val="24"/>
          <w:szCs w:val="24"/>
          <w:lang w:eastAsia="tr-TR"/>
        </w:rPr>
        <w:t xml:space="preserve"> Bu planlara ilişkin iade oranı bel</w:t>
      </w:r>
      <w:r w:rsidR="000C1134" w:rsidRPr="00950FAE">
        <w:rPr>
          <w:rFonts w:ascii="Times New Roman" w:eastAsia="Times New Roman" w:hAnsi="Times New Roman"/>
          <w:sz w:val="24"/>
          <w:szCs w:val="24"/>
          <w:lang w:eastAsia="tr-TR"/>
        </w:rPr>
        <w:t>irlenirken, plana geçiş yapılan</w:t>
      </w:r>
      <w:r w:rsidR="00A8633F" w:rsidRPr="00950FAE">
        <w:rPr>
          <w:rFonts w:ascii="Times New Roman" w:eastAsia="Times New Roman" w:hAnsi="Times New Roman"/>
          <w:sz w:val="24"/>
          <w:szCs w:val="24"/>
          <w:lang w:eastAsia="tr-TR"/>
        </w:rPr>
        <w:t xml:space="preserve"> tarihten itibaren </w:t>
      </w:r>
      <w:r w:rsidR="0012254B" w:rsidRPr="00950FAE">
        <w:rPr>
          <w:rFonts w:ascii="Times New Roman" w:eastAsia="Times New Roman" w:hAnsi="Times New Roman"/>
          <w:sz w:val="24"/>
          <w:szCs w:val="24"/>
          <w:lang w:eastAsia="tr-TR"/>
        </w:rPr>
        <w:t xml:space="preserve">sözleşmede </w:t>
      </w:r>
      <w:r w:rsidR="00A8633F" w:rsidRPr="00950FAE">
        <w:rPr>
          <w:rFonts w:ascii="Times New Roman" w:eastAsia="Times New Roman" w:hAnsi="Times New Roman"/>
          <w:sz w:val="24"/>
          <w:szCs w:val="24"/>
          <w:lang w:eastAsia="tr-TR"/>
        </w:rPr>
        <w:t>geçirilen süre esas alınır</w:t>
      </w:r>
      <w:r w:rsidR="0012254B" w:rsidRPr="00950FAE">
        <w:rPr>
          <w:rFonts w:ascii="Times New Roman" w:eastAsia="Times New Roman" w:hAnsi="Times New Roman"/>
          <w:sz w:val="24"/>
          <w:szCs w:val="24"/>
          <w:lang w:eastAsia="tr-TR"/>
        </w:rPr>
        <w:t>;</w:t>
      </w:r>
      <w:r w:rsidR="004A79F2" w:rsidRPr="00950FAE">
        <w:rPr>
          <w:rFonts w:ascii="Times New Roman" w:eastAsia="Times New Roman" w:hAnsi="Times New Roman"/>
          <w:sz w:val="24"/>
          <w:szCs w:val="24"/>
          <w:lang w:eastAsia="tr-TR"/>
        </w:rPr>
        <w:t xml:space="preserve"> katılımcının </w:t>
      </w:r>
      <w:r w:rsidR="00A83F7C" w:rsidRPr="00950FAE">
        <w:rPr>
          <w:rFonts w:ascii="Times New Roman" w:eastAsia="Times New Roman" w:hAnsi="Times New Roman"/>
          <w:sz w:val="24"/>
          <w:szCs w:val="24"/>
          <w:lang w:eastAsia="tr-TR"/>
        </w:rPr>
        <w:t>ilgili emeklilik gelir planına girmeden önce</w:t>
      </w:r>
      <w:r w:rsidR="004A79F2" w:rsidRPr="00950FAE">
        <w:rPr>
          <w:rFonts w:ascii="Times New Roman" w:eastAsia="Times New Roman" w:hAnsi="Times New Roman"/>
          <w:sz w:val="24"/>
          <w:szCs w:val="24"/>
          <w:lang w:eastAsia="tr-TR"/>
        </w:rPr>
        <w:t xml:space="preserve"> sözleşmede geçirdiği süre dikkate alınmaz.</w:t>
      </w:r>
      <w:r w:rsidR="00FF3416" w:rsidRPr="00950FAE">
        <w:rPr>
          <w:rFonts w:ascii="Times New Roman" w:eastAsia="Times New Roman" w:hAnsi="Times New Roman"/>
          <w:sz w:val="24"/>
          <w:szCs w:val="24"/>
          <w:lang w:eastAsia="tr-TR"/>
        </w:rPr>
        <w:t xml:space="preserve"> İ</w:t>
      </w:r>
      <w:r w:rsidR="00950FAE">
        <w:rPr>
          <w:rFonts w:ascii="Times New Roman" w:eastAsia="Times New Roman" w:hAnsi="Times New Roman"/>
          <w:sz w:val="24"/>
          <w:szCs w:val="24"/>
          <w:lang w:eastAsia="tr-TR"/>
        </w:rPr>
        <w:t>adeler, katılımcının</w:t>
      </w:r>
      <w:r w:rsidR="00950FAE" w:rsidRPr="001B6404">
        <w:rPr>
          <w:rFonts w:ascii="Times New Roman" w:eastAsia="ヒラギノ明朝 Pro W3" w:hAnsi="Times New Roman"/>
          <w:sz w:val="24"/>
          <w:szCs w:val="24"/>
          <w:lang w:eastAsia="tr-TR"/>
        </w:rPr>
        <w:t xml:space="preserve"> bireysel emeklilik planlarında belirtilen fon dağılım oranları dikkate alınarak </w:t>
      </w:r>
      <w:r w:rsidR="00950FAE">
        <w:rPr>
          <w:rFonts w:ascii="Times New Roman" w:eastAsia="ヒラギノ明朝 Pro W3" w:hAnsi="Times New Roman"/>
          <w:sz w:val="24"/>
          <w:szCs w:val="24"/>
          <w:lang w:eastAsia="tr-TR"/>
        </w:rPr>
        <w:t>ilgili fonlara aktarılır.</w:t>
      </w:r>
    </w:p>
    <w:p w:rsidR="004C545B" w:rsidRPr="00950FAE" w:rsidRDefault="004C545B" w:rsidP="00A853AE">
      <w:pPr>
        <w:spacing w:after="0" w:line="240" w:lineRule="auto"/>
        <w:ind w:left="720"/>
        <w:jc w:val="both"/>
        <w:rPr>
          <w:rFonts w:ascii="Times New Roman" w:eastAsia="ヒラギノ明朝 Pro W3" w:hAnsi="Times New Roman"/>
          <w:sz w:val="24"/>
          <w:szCs w:val="24"/>
          <w:lang w:eastAsia="tr-TR"/>
        </w:rPr>
      </w:pPr>
    </w:p>
    <w:p w:rsidR="00741511" w:rsidRDefault="00ED5570" w:rsidP="00E74993">
      <w:pPr>
        <w:numPr>
          <w:ilvl w:val="0"/>
          <w:numId w:val="28"/>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İade, 01.01.2021 tarihinden sonra sözleşmenin sonlandırılması durumunda (başka bir şirkete aktarım veya sistemden çıkış) ve her halükarda </w:t>
      </w:r>
      <w:r w:rsidR="00C506EF">
        <w:rPr>
          <w:rFonts w:ascii="Times New Roman" w:eastAsia="Times New Roman" w:hAnsi="Times New Roman"/>
          <w:sz w:val="24"/>
          <w:szCs w:val="24"/>
          <w:lang w:eastAsia="tr-TR"/>
        </w:rPr>
        <w:t xml:space="preserve">anılan tarihi müteakip </w:t>
      </w:r>
      <w:r>
        <w:rPr>
          <w:rFonts w:ascii="Times New Roman" w:eastAsia="Times New Roman" w:hAnsi="Times New Roman"/>
          <w:sz w:val="24"/>
          <w:szCs w:val="24"/>
          <w:lang w:eastAsia="tr-TR"/>
        </w:rPr>
        <w:t>her sözleşme yılı sonunda yap</w:t>
      </w:r>
      <w:r w:rsidR="00C506EF">
        <w:rPr>
          <w:rFonts w:ascii="Times New Roman" w:eastAsia="Times New Roman" w:hAnsi="Times New Roman"/>
          <w:sz w:val="24"/>
          <w:szCs w:val="24"/>
          <w:lang w:eastAsia="tr-TR"/>
        </w:rPr>
        <w:t>ılacak olup, bu kapsamda, söz konusu</w:t>
      </w:r>
      <w:r>
        <w:rPr>
          <w:rFonts w:ascii="Times New Roman" w:eastAsia="Times New Roman" w:hAnsi="Times New Roman"/>
          <w:sz w:val="24"/>
          <w:szCs w:val="24"/>
          <w:lang w:eastAsia="tr-TR"/>
        </w:rPr>
        <w:t xml:space="preserve"> tarihten önce yap</w:t>
      </w:r>
      <w:r w:rsidR="00E500A6">
        <w:rPr>
          <w:rFonts w:ascii="Times New Roman" w:eastAsia="Times New Roman" w:hAnsi="Times New Roman"/>
          <w:sz w:val="24"/>
          <w:szCs w:val="24"/>
          <w:lang w:eastAsia="tr-TR"/>
        </w:rPr>
        <w:t>ılmış olan</w:t>
      </w:r>
      <w:r>
        <w:rPr>
          <w:rFonts w:ascii="Times New Roman" w:eastAsia="Times New Roman" w:hAnsi="Times New Roman"/>
          <w:sz w:val="24"/>
          <w:szCs w:val="24"/>
          <w:lang w:eastAsia="tr-TR"/>
        </w:rPr>
        <w:t xml:space="preserve"> fon toplam gider kesintileri iade edilmeyecektir.</w:t>
      </w:r>
    </w:p>
    <w:p w:rsidR="00A853AE" w:rsidRDefault="00A853AE" w:rsidP="00A853AE">
      <w:pPr>
        <w:spacing w:after="0" w:line="240" w:lineRule="auto"/>
        <w:ind w:left="720"/>
        <w:jc w:val="both"/>
        <w:rPr>
          <w:rFonts w:ascii="Times New Roman" w:eastAsia="Times New Roman" w:hAnsi="Times New Roman"/>
          <w:sz w:val="24"/>
          <w:szCs w:val="24"/>
          <w:lang w:eastAsia="tr-TR"/>
        </w:rPr>
      </w:pPr>
    </w:p>
    <w:p w:rsidR="0064433B" w:rsidRDefault="00CE7DF0" w:rsidP="00E74993">
      <w:pPr>
        <w:numPr>
          <w:ilvl w:val="0"/>
          <w:numId w:val="28"/>
        </w:numPr>
        <w:spacing w:after="0" w:line="240" w:lineRule="auto"/>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F</w:t>
      </w:r>
      <w:r w:rsidR="0064433B" w:rsidRPr="00CF30BE">
        <w:rPr>
          <w:rFonts w:ascii="Times New Roman" w:eastAsia="ヒラギノ明朝 Pro W3" w:hAnsi="Times New Roman"/>
          <w:sz w:val="24"/>
          <w:szCs w:val="24"/>
          <w:lang w:eastAsia="tr-TR"/>
        </w:rPr>
        <w:t>ona ilişkin zorunlu giderlerin ka</w:t>
      </w:r>
      <w:r w:rsidR="0064433B">
        <w:rPr>
          <w:rFonts w:ascii="Times New Roman" w:eastAsia="ヒラギノ明朝 Pro W3" w:hAnsi="Times New Roman"/>
          <w:sz w:val="24"/>
          <w:szCs w:val="24"/>
          <w:lang w:eastAsia="tr-TR"/>
        </w:rPr>
        <w:t xml:space="preserve">rşılanmasına yönelik kesintiler </w:t>
      </w:r>
      <w:r w:rsidR="0064433B" w:rsidRPr="00E81C27">
        <w:rPr>
          <w:rFonts w:ascii="Times New Roman" w:eastAsia="ヒラギノ明朝 Pro W3" w:hAnsi="Times New Roman"/>
          <w:sz w:val="24"/>
          <w:szCs w:val="24"/>
          <w:lang w:eastAsia="tr-TR"/>
        </w:rPr>
        <w:t>iade işleminin dışında</w:t>
      </w:r>
      <w:r w:rsidR="0064433B">
        <w:rPr>
          <w:rFonts w:ascii="Times New Roman" w:eastAsia="ヒラギノ明朝 Pro W3" w:hAnsi="Times New Roman"/>
          <w:sz w:val="24"/>
          <w:szCs w:val="24"/>
          <w:lang w:eastAsia="tr-TR"/>
        </w:rPr>
        <w:t>dır.</w:t>
      </w:r>
    </w:p>
    <w:p w:rsidR="00A853AE" w:rsidRDefault="00A853AE" w:rsidP="00A853AE">
      <w:pPr>
        <w:spacing w:after="0" w:line="240" w:lineRule="auto"/>
        <w:ind w:left="720"/>
        <w:jc w:val="both"/>
        <w:rPr>
          <w:rFonts w:ascii="Times New Roman" w:eastAsia="ヒラギノ明朝 Pro W3" w:hAnsi="Times New Roman"/>
          <w:sz w:val="24"/>
          <w:szCs w:val="24"/>
          <w:lang w:eastAsia="tr-TR"/>
        </w:rPr>
      </w:pPr>
    </w:p>
    <w:p w:rsidR="00300BA5" w:rsidRDefault="00CE7DF0" w:rsidP="00E74993">
      <w:pPr>
        <w:numPr>
          <w:ilvl w:val="0"/>
          <w:numId w:val="28"/>
        </w:numPr>
        <w:spacing w:after="0" w:line="240" w:lineRule="auto"/>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 xml:space="preserve">Bireysel Emeklilik Sistemi Hakkında </w:t>
      </w:r>
      <w:r w:rsidR="0064433B">
        <w:rPr>
          <w:rFonts w:ascii="Times New Roman" w:eastAsia="ヒラギノ明朝 Pro W3" w:hAnsi="Times New Roman"/>
          <w:sz w:val="24"/>
          <w:szCs w:val="24"/>
          <w:lang w:eastAsia="tr-TR"/>
        </w:rPr>
        <w:t xml:space="preserve">Yönetmeliğin 22 </w:t>
      </w:r>
      <w:proofErr w:type="spellStart"/>
      <w:r w:rsidR="0064433B">
        <w:rPr>
          <w:rFonts w:ascii="Times New Roman" w:eastAsia="ヒラギノ明朝 Pro W3" w:hAnsi="Times New Roman"/>
          <w:sz w:val="24"/>
          <w:szCs w:val="24"/>
          <w:lang w:eastAsia="tr-TR"/>
        </w:rPr>
        <w:t>nci</w:t>
      </w:r>
      <w:proofErr w:type="spellEnd"/>
      <w:r w:rsidR="0064433B">
        <w:rPr>
          <w:rFonts w:ascii="Times New Roman" w:eastAsia="ヒラギノ明朝 Pro W3" w:hAnsi="Times New Roman"/>
          <w:sz w:val="24"/>
          <w:szCs w:val="24"/>
          <w:lang w:eastAsia="tr-TR"/>
        </w:rPr>
        <w:t xml:space="preserve"> maddesinin</w:t>
      </w:r>
      <w:r w:rsidR="0064433B" w:rsidRPr="001B6404">
        <w:rPr>
          <w:rFonts w:ascii="Times New Roman" w:eastAsia="ヒラギノ明朝 Pro W3" w:hAnsi="Times New Roman"/>
          <w:sz w:val="24"/>
          <w:szCs w:val="24"/>
          <w:lang w:eastAsia="tr-TR"/>
        </w:rPr>
        <w:t xml:space="preserve"> ikinci fıkrası kapsamındaki fon türleri için yapılacak </w:t>
      </w:r>
      <w:r w:rsidR="0064433B" w:rsidRPr="00CF30BE">
        <w:rPr>
          <w:rFonts w:ascii="Times New Roman" w:eastAsia="ヒラギノ明朝 Pro W3" w:hAnsi="Times New Roman"/>
          <w:sz w:val="24"/>
          <w:szCs w:val="24"/>
          <w:lang w:eastAsia="tr-TR"/>
        </w:rPr>
        <w:t xml:space="preserve">performans kesintisi </w:t>
      </w:r>
      <w:r w:rsidR="0064433B" w:rsidRPr="00E81C27">
        <w:rPr>
          <w:rFonts w:ascii="Times New Roman" w:eastAsia="ヒラギノ明朝 Pro W3" w:hAnsi="Times New Roman"/>
          <w:sz w:val="24"/>
          <w:szCs w:val="24"/>
          <w:lang w:eastAsia="tr-TR"/>
        </w:rPr>
        <w:t>iade işleminin dışında</w:t>
      </w:r>
      <w:r w:rsidR="0064433B">
        <w:rPr>
          <w:rFonts w:ascii="Times New Roman" w:eastAsia="ヒラギノ明朝 Pro W3" w:hAnsi="Times New Roman"/>
          <w:sz w:val="24"/>
          <w:szCs w:val="24"/>
          <w:lang w:eastAsia="tr-TR"/>
        </w:rPr>
        <w:t>dır.</w:t>
      </w:r>
    </w:p>
    <w:p w:rsidR="00C91F52" w:rsidRDefault="00C91F52" w:rsidP="00805A59">
      <w:pPr>
        <w:pStyle w:val="ListeParagraf"/>
        <w:tabs>
          <w:tab w:val="left" w:pos="851"/>
          <w:tab w:val="left" w:pos="993"/>
        </w:tabs>
        <w:spacing w:after="0" w:line="240" w:lineRule="auto"/>
        <w:ind w:left="0"/>
        <w:jc w:val="both"/>
        <w:rPr>
          <w:rFonts w:ascii="Times New Roman" w:eastAsia="ヒラギノ明朝 Pro W3" w:hAnsi="Times New Roman"/>
          <w:sz w:val="24"/>
          <w:szCs w:val="24"/>
          <w:lang w:eastAsia="tr-TR"/>
        </w:rPr>
      </w:pPr>
    </w:p>
    <w:p w:rsidR="0049268B" w:rsidRDefault="0049268B" w:rsidP="00560718">
      <w:pPr>
        <w:pStyle w:val="ListeParagraf"/>
        <w:numPr>
          <w:ilvl w:val="0"/>
          <w:numId w:val="25"/>
        </w:numPr>
        <w:tabs>
          <w:tab w:val="left" w:pos="851"/>
          <w:tab w:val="left" w:pos="993"/>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Kesinti iadelerine ve </w:t>
      </w:r>
      <w:r w:rsidR="004C229F">
        <w:rPr>
          <w:rFonts w:ascii="Times New Roman" w:eastAsia="Times New Roman" w:hAnsi="Times New Roman"/>
          <w:b/>
          <w:sz w:val="24"/>
          <w:szCs w:val="24"/>
          <w:lang w:eastAsia="tr-TR"/>
        </w:rPr>
        <w:t>şirketin</w:t>
      </w:r>
      <w:r>
        <w:rPr>
          <w:rFonts w:ascii="Times New Roman" w:eastAsia="Times New Roman" w:hAnsi="Times New Roman"/>
          <w:b/>
          <w:sz w:val="24"/>
          <w:szCs w:val="24"/>
          <w:lang w:eastAsia="tr-TR"/>
        </w:rPr>
        <w:t xml:space="preserve"> sorumluluğ</w:t>
      </w:r>
      <w:r w:rsidR="004C229F">
        <w:rPr>
          <w:rFonts w:ascii="Times New Roman" w:eastAsia="Times New Roman" w:hAnsi="Times New Roman"/>
          <w:b/>
          <w:sz w:val="24"/>
          <w:szCs w:val="24"/>
          <w:lang w:eastAsia="tr-TR"/>
        </w:rPr>
        <w:t>una</w:t>
      </w:r>
      <w:r>
        <w:rPr>
          <w:rFonts w:ascii="Times New Roman" w:eastAsia="Times New Roman" w:hAnsi="Times New Roman"/>
          <w:b/>
          <w:sz w:val="24"/>
          <w:szCs w:val="24"/>
          <w:lang w:eastAsia="tr-TR"/>
        </w:rPr>
        <w:t xml:space="preserve"> ilişkin açıklamalar</w:t>
      </w:r>
    </w:p>
    <w:p w:rsidR="0049268B" w:rsidRDefault="0049268B" w:rsidP="0049268B">
      <w:pPr>
        <w:spacing w:after="0" w:line="240" w:lineRule="auto"/>
        <w:jc w:val="both"/>
        <w:rPr>
          <w:rFonts w:ascii="Times New Roman" w:eastAsia="Times New Roman" w:hAnsi="Times New Roman"/>
          <w:b/>
          <w:sz w:val="24"/>
          <w:szCs w:val="24"/>
          <w:lang w:eastAsia="tr-TR"/>
        </w:rPr>
      </w:pPr>
    </w:p>
    <w:p w:rsidR="0049268B" w:rsidRDefault="0049268B" w:rsidP="00E74993">
      <w:pPr>
        <w:pStyle w:val="ListeParagraf"/>
        <w:numPr>
          <w:ilvl w:val="0"/>
          <w:numId w:val="30"/>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Kesintilere ilişkin üst sınırların aşılması durumunda ortaya çıkan iadeler</w:t>
      </w:r>
      <w:r w:rsidR="0018709B">
        <w:rPr>
          <w:rFonts w:ascii="Times New Roman" w:eastAsia="Times New Roman" w:hAnsi="Times New Roman"/>
          <w:sz w:val="24"/>
          <w:szCs w:val="24"/>
          <w:lang w:eastAsia="tr-TR"/>
        </w:rPr>
        <w:t xml:space="preserve"> ile</w:t>
      </w:r>
      <w:r>
        <w:rPr>
          <w:rFonts w:ascii="Times New Roman" w:eastAsia="Times New Roman" w:hAnsi="Times New Roman"/>
          <w:sz w:val="24"/>
          <w:szCs w:val="24"/>
          <w:lang w:eastAsia="tr-TR"/>
        </w:rPr>
        <w:t xml:space="preserve"> fon toplam gider kesintisine ilişkin iadelerin gecikmesi durumunda ilgili şirket, bu gecikmeden</w:t>
      </w:r>
      <w:r w:rsidRPr="000667C0">
        <w:rPr>
          <w:rFonts w:ascii="Times New Roman" w:eastAsia="Times New Roman" w:hAnsi="Times New Roman"/>
          <w:sz w:val="24"/>
          <w:szCs w:val="24"/>
          <w:lang w:eastAsia="tr-TR"/>
        </w:rPr>
        <w:t xml:space="preserve"> dolay</w:t>
      </w:r>
      <w:r>
        <w:rPr>
          <w:rFonts w:ascii="Times New Roman" w:eastAsia="Times New Roman" w:hAnsi="Times New Roman"/>
          <w:sz w:val="24"/>
          <w:szCs w:val="24"/>
          <w:lang w:eastAsia="tr-TR"/>
        </w:rPr>
        <w:t xml:space="preserve">ı varsa katılımcının birikimine ilişkin olarak </w:t>
      </w:r>
      <w:r w:rsidRPr="000667C0">
        <w:rPr>
          <w:rFonts w:ascii="Times New Roman" w:eastAsia="Times New Roman" w:hAnsi="Times New Roman"/>
          <w:sz w:val="24"/>
          <w:szCs w:val="24"/>
          <w:lang w:eastAsia="tr-TR"/>
        </w:rPr>
        <w:t xml:space="preserve">oluşan parasal kaybı hesaplar ve </w:t>
      </w:r>
      <w:r w:rsidR="00A2096A">
        <w:rPr>
          <w:rFonts w:ascii="Times New Roman" w:eastAsia="Times New Roman" w:hAnsi="Times New Roman"/>
          <w:sz w:val="24"/>
          <w:szCs w:val="24"/>
          <w:lang w:eastAsia="tr-TR"/>
        </w:rPr>
        <w:t xml:space="preserve">ilgili tutarı </w:t>
      </w:r>
      <w:r w:rsidRPr="000667C0">
        <w:rPr>
          <w:rFonts w:ascii="Times New Roman" w:eastAsia="Times New Roman" w:hAnsi="Times New Roman"/>
          <w:sz w:val="24"/>
          <w:szCs w:val="24"/>
          <w:lang w:eastAsia="tr-TR"/>
        </w:rPr>
        <w:t xml:space="preserve">katılımcının </w:t>
      </w:r>
      <w:r>
        <w:rPr>
          <w:rFonts w:ascii="Times New Roman" w:eastAsia="Times New Roman" w:hAnsi="Times New Roman"/>
          <w:sz w:val="24"/>
          <w:szCs w:val="24"/>
          <w:lang w:eastAsia="tr-TR"/>
        </w:rPr>
        <w:t xml:space="preserve">bireysel emeklilik </w:t>
      </w:r>
      <w:r w:rsidRPr="000667C0">
        <w:rPr>
          <w:rFonts w:ascii="Times New Roman" w:eastAsia="Times New Roman" w:hAnsi="Times New Roman"/>
          <w:sz w:val="24"/>
          <w:szCs w:val="24"/>
          <w:lang w:eastAsia="tr-TR"/>
        </w:rPr>
        <w:t xml:space="preserve">hesabına öder. Katılımcının </w:t>
      </w:r>
      <w:r>
        <w:rPr>
          <w:rFonts w:ascii="Times New Roman" w:eastAsia="Times New Roman" w:hAnsi="Times New Roman"/>
          <w:sz w:val="24"/>
          <w:szCs w:val="24"/>
          <w:lang w:eastAsia="tr-TR"/>
        </w:rPr>
        <w:t xml:space="preserve">bireysel emeklilik </w:t>
      </w:r>
      <w:r w:rsidRPr="000667C0">
        <w:rPr>
          <w:rFonts w:ascii="Times New Roman" w:eastAsia="Times New Roman" w:hAnsi="Times New Roman"/>
          <w:sz w:val="24"/>
          <w:szCs w:val="24"/>
          <w:lang w:eastAsia="tr-TR"/>
        </w:rPr>
        <w:t>hesabının bulunmadığı durumlarda ise ödeme doğrudan katılımcıya yapılır.</w:t>
      </w:r>
    </w:p>
    <w:p w:rsidR="00A853AE" w:rsidRDefault="00A853AE" w:rsidP="00A853AE">
      <w:pPr>
        <w:pStyle w:val="ListeParagraf"/>
        <w:tabs>
          <w:tab w:val="left" w:pos="709"/>
        </w:tabs>
        <w:spacing w:after="0" w:line="240" w:lineRule="auto"/>
        <w:jc w:val="both"/>
        <w:rPr>
          <w:rFonts w:ascii="Times New Roman" w:eastAsia="Times New Roman" w:hAnsi="Times New Roman"/>
          <w:sz w:val="24"/>
          <w:szCs w:val="24"/>
          <w:lang w:eastAsia="tr-TR"/>
        </w:rPr>
      </w:pPr>
    </w:p>
    <w:p w:rsidR="0049268B" w:rsidRDefault="0049268B" w:rsidP="00780CC0">
      <w:pPr>
        <w:pStyle w:val="ListeParagraf"/>
        <w:numPr>
          <w:ilvl w:val="0"/>
          <w:numId w:val="30"/>
        </w:numPr>
        <w:tabs>
          <w:tab w:val="left" w:pos="709"/>
        </w:tabs>
        <w:spacing w:before="24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İade</w:t>
      </w:r>
      <w:r w:rsidR="009F14F2">
        <w:rPr>
          <w:rFonts w:ascii="Times New Roman" w:eastAsia="Times New Roman" w:hAnsi="Times New Roman"/>
          <w:sz w:val="24"/>
          <w:szCs w:val="24"/>
          <w:lang w:eastAsia="tr-TR"/>
        </w:rPr>
        <w:t>lerin</w:t>
      </w:r>
      <w:r>
        <w:rPr>
          <w:rFonts w:ascii="Times New Roman" w:eastAsia="Times New Roman" w:hAnsi="Times New Roman"/>
          <w:sz w:val="24"/>
          <w:szCs w:val="24"/>
          <w:lang w:eastAsia="tr-TR"/>
        </w:rPr>
        <w:t xml:space="preserve"> gecikmesi durumunda</w:t>
      </w:r>
      <w:r w:rsidRPr="00DC2B9C">
        <w:rPr>
          <w:rFonts w:ascii="Times New Roman" w:eastAsia="Times New Roman" w:hAnsi="Times New Roman"/>
          <w:sz w:val="24"/>
          <w:szCs w:val="24"/>
          <w:lang w:eastAsia="tr-TR"/>
        </w:rPr>
        <w:t xml:space="preserve"> </w:t>
      </w:r>
      <w:r w:rsidR="00D71D82" w:rsidRPr="00DC2B9C">
        <w:rPr>
          <w:rFonts w:ascii="Times New Roman" w:eastAsia="Times New Roman" w:hAnsi="Times New Roman"/>
          <w:sz w:val="24"/>
          <w:szCs w:val="24"/>
          <w:lang w:eastAsia="tr-TR"/>
        </w:rPr>
        <w:t>şirk</w:t>
      </w:r>
      <w:r w:rsidR="00D71D82">
        <w:rPr>
          <w:rFonts w:ascii="Times New Roman" w:eastAsia="Times New Roman" w:hAnsi="Times New Roman"/>
          <w:sz w:val="24"/>
          <w:szCs w:val="24"/>
          <w:lang w:eastAsia="tr-TR"/>
        </w:rPr>
        <w:t>etin sorumluluğu</w:t>
      </w:r>
      <w:r>
        <w:rPr>
          <w:rFonts w:ascii="Times New Roman" w:eastAsia="Times New Roman" w:hAnsi="Times New Roman"/>
          <w:sz w:val="24"/>
          <w:szCs w:val="24"/>
          <w:lang w:eastAsia="tr-TR"/>
        </w:rPr>
        <w:t>, kesintilere ilişkin üst sınırın aşıldığının şirket tarafından tespit edilmesini</w:t>
      </w:r>
      <w:r w:rsidR="00346836">
        <w:rPr>
          <w:rFonts w:ascii="Times New Roman" w:eastAsia="Times New Roman" w:hAnsi="Times New Roman"/>
          <w:sz w:val="24"/>
          <w:szCs w:val="24"/>
          <w:lang w:eastAsia="tr-TR"/>
        </w:rPr>
        <w:t>,</w:t>
      </w:r>
      <w:r w:rsidR="009A29E0">
        <w:rPr>
          <w:rFonts w:ascii="Times New Roman" w:eastAsia="Times New Roman" w:hAnsi="Times New Roman"/>
          <w:sz w:val="24"/>
          <w:szCs w:val="24"/>
          <w:lang w:eastAsia="tr-TR"/>
        </w:rPr>
        <w:t xml:space="preserve"> </w:t>
      </w:r>
      <w:r w:rsidR="00C023EE">
        <w:rPr>
          <w:rFonts w:ascii="Times New Roman" w:eastAsia="Times New Roman" w:hAnsi="Times New Roman"/>
          <w:sz w:val="24"/>
          <w:szCs w:val="24"/>
          <w:lang w:eastAsia="tr-TR"/>
        </w:rPr>
        <w:t>fon toplam gider kesintisinin iadesi durumunda</w:t>
      </w:r>
      <w:r w:rsidR="00346836">
        <w:rPr>
          <w:rFonts w:ascii="Times New Roman" w:eastAsia="Times New Roman" w:hAnsi="Times New Roman"/>
          <w:sz w:val="24"/>
          <w:szCs w:val="24"/>
          <w:lang w:eastAsia="tr-TR"/>
        </w:rPr>
        <w:t xml:space="preserve"> ise</w:t>
      </w:r>
      <w:r w:rsidR="00C023EE">
        <w:rPr>
          <w:rFonts w:ascii="Times New Roman" w:eastAsia="Times New Roman" w:hAnsi="Times New Roman"/>
          <w:sz w:val="24"/>
          <w:szCs w:val="24"/>
          <w:lang w:eastAsia="tr-TR"/>
        </w:rPr>
        <w:t xml:space="preserve"> </w:t>
      </w:r>
      <w:r w:rsidR="00346836">
        <w:rPr>
          <w:rFonts w:ascii="Times New Roman" w:eastAsia="Times New Roman" w:hAnsi="Times New Roman"/>
          <w:sz w:val="24"/>
          <w:szCs w:val="24"/>
          <w:lang w:eastAsia="tr-TR"/>
        </w:rPr>
        <w:t xml:space="preserve">ilgisine göre </w:t>
      </w:r>
      <w:r w:rsidR="009A29E0">
        <w:rPr>
          <w:rFonts w:ascii="Times New Roman" w:eastAsia="ヒラギノ明朝 Pro W3" w:hAnsi="Times New Roman"/>
          <w:sz w:val="24"/>
          <w:szCs w:val="24"/>
          <w:lang w:eastAsia="tr-TR"/>
        </w:rPr>
        <w:t xml:space="preserve">her sözleşme yılı sonunu </w:t>
      </w:r>
      <w:r w:rsidR="009A29E0" w:rsidRPr="001B6404">
        <w:rPr>
          <w:rFonts w:ascii="Times New Roman" w:eastAsia="ヒラギノ明朝 Pro W3" w:hAnsi="Times New Roman"/>
          <w:sz w:val="24"/>
          <w:szCs w:val="24"/>
          <w:lang w:eastAsia="tr-TR"/>
        </w:rPr>
        <w:t>ve</w:t>
      </w:r>
      <w:r w:rsidR="00346836">
        <w:rPr>
          <w:rFonts w:ascii="Times New Roman" w:eastAsia="ヒラギノ明朝 Pro W3" w:hAnsi="Times New Roman"/>
          <w:sz w:val="24"/>
          <w:szCs w:val="24"/>
          <w:lang w:eastAsia="tr-TR"/>
        </w:rPr>
        <w:t>ya</w:t>
      </w:r>
      <w:r w:rsidR="009A29E0" w:rsidRPr="001B6404">
        <w:rPr>
          <w:rFonts w:ascii="Times New Roman" w:eastAsia="ヒラギノ明朝 Pro W3" w:hAnsi="Times New Roman"/>
          <w:sz w:val="24"/>
          <w:szCs w:val="24"/>
          <w:lang w:eastAsia="tr-TR"/>
        </w:rPr>
        <w:t xml:space="preserve"> </w:t>
      </w:r>
      <w:r w:rsidR="009A29E0">
        <w:rPr>
          <w:rFonts w:ascii="Times New Roman" w:eastAsia="ヒラギノ明朝 Pro W3" w:hAnsi="Times New Roman"/>
          <w:sz w:val="24"/>
          <w:szCs w:val="24"/>
          <w:lang w:eastAsia="tr-TR"/>
        </w:rPr>
        <w:t xml:space="preserve">sözleşmenin sonlandırılma tarihini </w:t>
      </w:r>
      <w:r>
        <w:rPr>
          <w:rFonts w:ascii="Times New Roman" w:eastAsia="Times New Roman" w:hAnsi="Times New Roman"/>
          <w:sz w:val="24"/>
          <w:szCs w:val="24"/>
          <w:lang w:eastAsia="tr-TR"/>
        </w:rPr>
        <w:t>takip eden en geç beşinci</w:t>
      </w:r>
      <w:r w:rsidRPr="00DC2B9C">
        <w:rPr>
          <w:rFonts w:ascii="Times New Roman" w:eastAsia="Times New Roman" w:hAnsi="Times New Roman"/>
          <w:sz w:val="24"/>
          <w:szCs w:val="24"/>
          <w:lang w:eastAsia="tr-TR"/>
        </w:rPr>
        <w:t xml:space="preserve"> iş günü sonun</w:t>
      </w:r>
      <w:r>
        <w:rPr>
          <w:rFonts w:ascii="Times New Roman" w:eastAsia="Times New Roman" w:hAnsi="Times New Roman"/>
          <w:sz w:val="24"/>
          <w:szCs w:val="24"/>
          <w:lang w:eastAsia="tr-TR"/>
        </w:rPr>
        <w:t xml:space="preserve">a kadar, </w:t>
      </w:r>
      <w:r w:rsidR="00F7019E">
        <w:rPr>
          <w:rFonts w:ascii="Times New Roman" w:eastAsia="Times New Roman" w:hAnsi="Times New Roman"/>
          <w:sz w:val="24"/>
          <w:szCs w:val="24"/>
          <w:lang w:eastAsia="tr-TR"/>
        </w:rPr>
        <w:t xml:space="preserve">iade tutarının </w:t>
      </w:r>
      <w:r>
        <w:rPr>
          <w:rFonts w:ascii="Times New Roman" w:eastAsia="ヒラギノ明朝 Pro W3" w:hAnsi="Times New Roman"/>
          <w:sz w:val="24"/>
          <w:szCs w:val="24"/>
          <w:lang w:eastAsia="tr-TR"/>
        </w:rPr>
        <w:t xml:space="preserve">ilgisine göre katılımcıya veya </w:t>
      </w:r>
      <w:r w:rsidRPr="001B6404">
        <w:rPr>
          <w:rFonts w:ascii="Times New Roman" w:eastAsia="ヒラギノ明朝 Pro W3" w:hAnsi="Times New Roman"/>
          <w:sz w:val="24"/>
          <w:szCs w:val="24"/>
          <w:lang w:eastAsia="tr-TR"/>
        </w:rPr>
        <w:t>katılımcının bireysel emeklilik h</w:t>
      </w:r>
      <w:r>
        <w:rPr>
          <w:rFonts w:ascii="Times New Roman" w:eastAsia="ヒラギノ明朝 Pro W3" w:hAnsi="Times New Roman"/>
          <w:sz w:val="24"/>
          <w:szCs w:val="24"/>
          <w:lang w:eastAsia="tr-TR"/>
        </w:rPr>
        <w:t>esabına ödenmemesi</w:t>
      </w:r>
      <w:r w:rsidRPr="00DC2B9C">
        <w:rPr>
          <w:rFonts w:ascii="Times New Roman" w:eastAsia="Times New Roman" w:hAnsi="Times New Roman"/>
          <w:sz w:val="24"/>
          <w:szCs w:val="24"/>
          <w:lang w:eastAsia="tr-TR"/>
        </w:rPr>
        <w:t xml:space="preserve"> halinde başlar.</w:t>
      </w:r>
      <w:proofErr w:type="gramEnd"/>
    </w:p>
    <w:p w:rsidR="00785AA1" w:rsidRDefault="00785AA1" w:rsidP="00785AA1">
      <w:pPr>
        <w:pStyle w:val="ListeParagraf"/>
        <w:tabs>
          <w:tab w:val="left" w:pos="709"/>
        </w:tabs>
        <w:spacing w:before="240" w:line="240" w:lineRule="auto"/>
        <w:ind w:left="0"/>
        <w:jc w:val="both"/>
        <w:rPr>
          <w:rFonts w:ascii="Times New Roman" w:eastAsia="Times New Roman" w:hAnsi="Times New Roman"/>
          <w:sz w:val="24"/>
          <w:szCs w:val="24"/>
          <w:lang w:eastAsia="tr-TR"/>
        </w:rPr>
      </w:pPr>
    </w:p>
    <w:p w:rsidR="00FA565E" w:rsidRDefault="00FA565E" w:rsidP="00E74993">
      <w:pPr>
        <w:pStyle w:val="ListeParagraf"/>
        <w:numPr>
          <w:ilvl w:val="0"/>
          <w:numId w:val="30"/>
        </w:numPr>
        <w:tabs>
          <w:tab w:val="left" w:pos="709"/>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Şirketler, kesinti iadelerine ilişkin olarak teknik </w:t>
      </w:r>
      <w:r w:rsidR="00740EE9">
        <w:rPr>
          <w:rFonts w:ascii="Times New Roman" w:eastAsia="Times New Roman" w:hAnsi="Times New Roman"/>
          <w:sz w:val="24"/>
          <w:szCs w:val="24"/>
          <w:lang w:eastAsia="tr-TR"/>
        </w:rPr>
        <w:t>altyapılarını</w:t>
      </w:r>
      <w:r>
        <w:rPr>
          <w:rFonts w:ascii="Times New Roman" w:eastAsia="Times New Roman" w:hAnsi="Times New Roman"/>
          <w:sz w:val="24"/>
          <w:szCs w:val="24"/>
          <w:lang w:eastAsia="tr-TR"/>
        </w:rPr>
        <w:t xml:space="preserve"> 2021 yılı i</w:t>
      </w:r>
      <w:r w:rsidR="00907BC1">
        <w:rPr>
          <w:rFonts w:ascii="Times New Roman" w:eastAsia="Times New Roman" w:hAnsi="Times New Roman"/>
          <w:sz w:val="24"/>
          <w:szCs w:val="24"/>
          <w:lang w:eastAsia="tr-TR"/>
        </w:rPr>
        <w:t xml:space="preserve">tibarıyla </w:t>
      </w:r>
      <w:r w:rsidR="00740EE9">
        <w:rPr>
          <w:rFonts w:ascii="Times New Roman" w:eastAsia="Times New Roman" w:hAnsi="Times New Roman"/>
          <w:sz w:val="24"/>
          <w:szCs w:val="24"/>
          <w:lang w:eastAsia="tr-TR"/>
        </w:rPr>
        <w:t>hazır hale getirirler</w:t>
      </w:r>
      <w:r>
        <w:rPr>
          <w:rFonts w:ascii="Times New Roman" w:eastAsia="Times New Roman" w:hAnsi="Times New Roman"/>
          <w:sz w:val="24"/>
          <w:szCs w:val="24"/>
          <w:lang w:eastAsia="tr-TR"/>
        </w:rPr>
        <w:t>.</w:t>
      </w:r>
      <w:r w:rsidR="0033602C">
        <w:rPr>
          <w:rFonts w:ascii="Times New Roman" w:eastAsia="Times New Roman" w:hAnsi="Times New Roman"/>
          <w:sz w:val="24"/>
          <w:szCs w:val="24"/>
          <w:lang w:eastAsia="tr-TR"/>
        </w:rPr>
        <w:t xml:space="preserve"> </w:t>
      </w:r>
    </w:p>
    <w:p w:rsidR="00DD3B3C" w:rsidRDefault="00DD3B3C" w:rsidP="00DD3B3C">
      <w:pPr>
        <w:pStyle w:val="ListeParagraf"/>
        <w:rPr>
          <w:rFonts w:ascii="Times New Roman" w:eastAsia="Times New Roman" w:hAnsi="Times New Roman"/>
          <w:sz w:val="24"/>
          <w:szCs w:val="24"/>
          <w:lang w:eastAsia="tr-TR"/>
        </w:rPr>
      </w:pPr>
    </w:p>
    <w:p w:rsidR="00845709" w:rsidRDefault="00845709" w:rsidP="00845709">
      <w:pPr>
        <w:pStyle w:val="ListeParagraf"/>
        <w:tabs>
          <w:tab w:val="left" w:pos="709"/>
        </w:tabs>
        <w:spacing w:after="0" w:line="240" w:lineRule="auto"/>
        <w:jc w:val="both"/>
        <w:rPr>
          <w:rFonts w:eastAsia="Times New Roman" w:cs="Arial"/>
          <w:lang w:eastAsia="tr-TR"/>
        </w:rPr>
      </w:pPr>
    </w:p>
    <w:sectPr w:rsidR="00845709" w:rsidSect="00107FE4">
      <w:footerReference w:type="default" r:id="rId9"/>
      <w:pgSz w:w="11906" w:h="16838"/>
      <w:pgMar w:top="993" w:right="1417" w:bottom="142" w:left="1417"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29" w:rsidRDefault="00C07F29" w:rsidP="006B58E7">
      <w:pPr>
        <w:spacing w:after="0" w:line="240" w:lineRule="auto"/>
      </w:pPr>
      <w:r>
        <w:separator/>
      </w:r>
    </w:p>
  </w:endnote>
  <w:endnote w:type="continuationSeparator" w:id="0">
    <w:p w:rsidR="00C07F29" w:rsidRDefault="00C07F29"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4" w:rsidRDefault="00107FE4">
    <w:pPr>
      <w:pStyle w:val="Altbilgi"/>
      <w:jc w:val="center"/>
    </w:pPr>
  </w:p>
  <w:p w:rsidR="009641B0" w:rsidRDefault="009641B0">
    <w:pPr>
      <w:pStyle w:val="Altbilgi"/>
      <w:jc w:val="center"/>
    </w:pPr>
    <w:r>
      <w:fldChar w:fldCharType="begin"/>
    </w:r>
    <w:r>
      <w:instrText>PAGE   \* MERGEFORMAT</w:instrText>
    </w:r>
    <w:r>
      <w:fldChar w:fldCharType="separate"/>
    </w:r>
    <w:r w:rsidR="008F570B">
      <w:rPr>
        <w:noProof/>
      </w:rPr>
      <w:t>1</w:t>
    </w:r>
    <w:r>
      <w:fldChar w:fldCharType="end"/>
    </w:r>
    <w:r w:rsidR="001A0D25">
      <w:t>/</w:t>
    </w:r>
    <w:r w:rsidR="00A93432">
      <w:t>6</w:t>
    </w:r>
  </w:p>
  <w:p w:rsidR="006B58E7" w:rsidRDefault="006B58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29" w:rsidRDefault="00C07F29" w:rsidP="006B58E7">
      <w:pPr>
        <w:spacing w:after="0" w:line="240" w:lineRule="auto"/>
      </w:pPr>
      <w:r>
        <w:separator/>
      </w:r>
    </w:p>
  </w:footnote>
  <w:footnote w:type="continuationSeparator" w:id="0">
    <w:p w:rsidR="00C07F29" w:rsidRDefault="00C07F29" w:rsidP="006B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5">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107C8F"/>
    <w:multiLevelType w:val="hybridMultilevel"/>
    <w:tmpl w:val="B5DC3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374564"/>
    <w:multiLevelType w:val="hybridMultilevel"/>
    <w:tmpl w:val="09AAF914"/>
    <w:lvl w:ilvl="0" w:tplc="71C2A6D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7E02B0F"/>
    <w:multiLevelType w:val="hybridMultilevel"/>
    <w:tmpl w:val="44B2F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D22132"/>
    <w:multiLevelType w:val="multilevel"/>
    <w:tmpl w:val="0F3CD7C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1D52D2E"/>
    <w:multiLevelType w:val="hybridMultilevel"/>
    <w:tmpl w:val="F1A25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9D708E2"/>
    <w:multiLevelType w:val="hybridMultilevel"/>
    <w:tmpl w:val="D520EBD4"/>
    <w:lvl w:ilvl="0" w:tplc="210400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E60477"/>
    <w:multiLevelType w:val="hybridMultilevel"/>
    <w:tmpl w:val="102EF3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3B3F67"/>
    <w:multiLevelType w:val="hybridMultilevel"/>
    <w:tmpl w:val="F7AAE13E"/>
    <w:lvl w:ilvl="0" w:tplc="978415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0"/>
  </w:num>
  <w:num w:numId="3">
    <w:abstractNumId w:val="23"/>
  </w:num>
  <w:num w:numId="4">
    <w:abstractNumId w:val="0"/>
  </w:num>
  <w:num w:numId="5">
    <w:abstractNumId w:val="5"/>
  </w:num>
  <w:num w:numId="6">
    <w:abstractNumId w:val="7"/>
  </w:num>
  <w:num w:numId="7">
    <w:abstractNumId w:val="13"/>
  </w:num>
  <w:num w:numId="8">
    <w:abstractNumId w:val="16"/>
  </w:num>
  <w:num w:numId="9">
    <w:abstractNumId w:val="15"/>
  </w:num>
  <w:num w:numId="10">
    <w:abstractNumId w:val="9"/>
  </w:num>
  <w:num w:numId="11">
    <w:abstractNumId w:val="24"/>
  </w:num>
  <w:num w:numId="12">
    <w:abstractNumId w:val="27"/>
  </w:num>
  <w:num w:numId="13">
    <w:abstractNumId w:val="12"/>
  </w:num>
  <w:num w:numId="14">
    <w:abstractNumId w:val="18"/>
  </w:num>
  <w:num w:numId="15">
    <w:abstractNumId w:val="22"/>
  </w:num>
  <w:num w:numId="16">
    <w:abstractNumId w:val="1"/>
  </w:num>
  <w:num w:numId="17">
    <w:abstractNumId w:val="14"/>
  </w:num>
  <w:num w:numId="18">
    <w:abstractNumId w:val="4"/>
  </w:num>
  <w:num w:numId="19">
    <w:abstractNumId w:val="19"/>
  </w:num>
  <w:num w:numId="20">
    <w:abstractNumId w:val="26"/>
  </w:num>
  <w:num w:numId="21">
    <w:abstractNumId w:val="31"/>
  </w:num>
  <w:num w:numId="22">
    <w:abstractNumId w:val="20"/>
  </w:num>
  <w:num w:numId="23">
    <w:abstractNumId w:val="30"/>
  </w:num>
  <w:num w:numId="24">
    <w:abstractNumId w:val="8"/>
  </w:num>
  <w:num w:numId="25">
    <w:abstractNumId w:val="11"/>
  </w:num>
  <w:num w:numId="26">
    <w:abstractNumId w:val="28"/>
  </w:num>
  <w:num w:numId="27">
    <w:abstractNumId w:val="3"/>
  </w:num>
  <w:num w:numId="28">
    <w:abstractNumId w:val="17"/>
  </w:num>
  <w:num w:numId="29">
    <w:abstractNumId w:val="29"/>
  </w:num>
  <w:num w:numId="30">
    <w:abstractNumId w:val="2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94"/>
    <w:rsid w:val="00001097"/>
    <w:rsid w:val="0000481D"/>
    <w:rsid w:val="000073AA"/>
    <w:rsid w:val="00007E5D"/>
    <w:rsid w:val="00011321"/>
    <w:rsid w:val="000128FF"/>
    <w:rsid w:val="0001452E"/>
    <w:rsid w:val="0003059C"/>
    <w:rsid w:val="0003180B"/>
    <w:rsid w:val="00032B05"/>
    <w:rsid w:val="000337FC"/>
    <w:rsid w:val="00033A1B"/>
    <w:rsid w:val="000343F1"/>
    <w:rsid w:val="000355AE"/>
    <w:rsid w:val="00035630"/>
    <w:rsid w:val="00037C01"/>
    <w:rsid w:val="00040178"/>
    <w:rsid w:val="00040DA7"/>
    <w:rsid w:val="000416ED"/>
    <w:rsid w:val="00045846"/>
    <w:rsid w:val="000458DD"/>
    <w:rsid w:val="00046305"/>
    <w:rsid w:val="00050AD6"/>
    <w:rsid w:val="00051AFC"/>
    <w:rsid w:val="00052178"/>
    <w:rsid w:val="00054626"/>
    <w:rsid w:val="000667C0"/>
    <w:rsid w:val="00066ED0"/>
    <w:rsid w:val="000670C2"/>
    <w:rsid w:val="0007166D"/>
    <w:rsid w:val="00071AAD"/>
    <w:rsid w:val="00072951"/>
    <w:rsid w:val="00073B88"/>
    <w:rsid w:val="00077BC8"/>
    <w:rsid w:val="00081139"/>
    <w:rsid w:val="00081A40"/>
    <w:rsid w:val="00085FC7"/>
    <w:rsid w:val="00086AD8"/>
    <w:rsid w:val="00090510"/>
    <w:rsid w:val="00091E8B"/>
    <w:rsid w:val="000923F3"/>
    <w:rsid w:val="00093DDA"/>
    <w:rsid w:val="00093F06"/>
    <w:rsid w:val="0009698A"/>
    <w:rsid w:val="000A0190"/>
    <w:rsid w:val="000A34BB"/>
    <w:rsid w:val="000B0985"/>
    <w:rsid w:val="000B28D0"/>
    <w:rsid w:val="000B4F01"/>
    <w:rsid w:val="000B7EEE"/>
    <w:rsid w:val="000C041F"/>
    <w:rsid w:val="000C1134"/>
    <w:rsid w:val="000C15DA"/>
    <w:rsid w:val="000C1F3B"/>
    <w:rsid w:val="000C3277"/>
    <w:rsid w:val="000C649A"/>
    <w:rsid w:val="000D024F"/>
    <w:rsid w:val="000D30B8"/>
    <w:rsid w:val="000D3817"/>
    <w:rsid w:val="000D66BC"/>
    <w:rsid w:val="000D70EF"/>
    <w:rsid w:val="000D746C"/>
    <w:rsid w:val="000E0559"/>
    <w:rsid w:val="000E1F12"/>
    <w:rsid w:val="000E36C0"/>
    <w:rsid w:val="000E392B"/>
    <w:rsid w:val="000E5882"/>
    <w:rsid w:val="000F0AEA"/>
    <w:rsid w:val="00107FE4"/>
    <w:rsid w:val="0011336A"/>
    <w:rsid w:val="00114325"/>
    <w:rsid w:val="0012194E"/>
    <w:rsid w:val="0012254B"/>
    <w:rsid w:val="00122FBB"/>
    <w:rsid w:val="001257CE"/>
    <w:rsid w:val="00126357"/>
    <w:rsid w:val="00127E5E"/>
    <w:rsid w:val="001314FC"/>
    <w:rsid w:val="001365B6"/>
    <w:rsid w:val="0014223C"/>
    <w:rsid w:val="00144C90"/>
    <w:rsid w:val="00146B27"/>
    <w:rsid w:val="0015267B"/>
    <w:rsid w:val="00152D2C"/>
    <w:rsid w:val="001556BF"/>
    <w:rsid w:val="0015757D"/>
    <w:rsid w:val="0016473E"/>
    <w:rsid w:val="00164E56"/>
    <w:rsid w:val="00170CE1"/>
    <w:rsid w:val="00172ECD"/>
    <w:rsid w:val="001773FD"/>
    <w:rsid w:val="0018038C"/>
    <w:rsid w:val="00186CB5"/>
    <w:rsid w:val="0018709B"/>
    <w:rsid w:val="00187EC2"/>
    <w:rsid w:val="00197AAC"/>
    <w:rsid w:val="001A0D25"/>
    <w:rsid w:val="001A278D"/>
    <w:rsid w:val="001A5033"/>
    <w:rsid w:val="001A5194"/>
    <w:rsid w:val="001A6B22"/>
    <w:rsid w:val="001A6B29"/>
    <w:rsid w:val="001A731F"/>
    <w:rsid w:val="001B018C"/>
    <w:rsid w:val="001B245C"/>
    <w:rsid w:val="001B528B"/>
    <w:rsid w:val="001B6304"/>
    <w:rsid w:val="001B64A8"/>
    <w:rsid w:val="001C00B0"/>
    <w:rsid w:val="001C0D32"/>
    <w:rsid w:val="001C0FD9"/>
    <w:rsid w:val="001C2033"/>
    <w:rsid w:val="001C3156"/>
    <w:rsid w:val="001C38DA"/>
    <w:rsid w:val="001C39EF"/>
    <w:rsid w:val="001C5153"/>
    <w:rsid w:val="001C6DFC"/>
    <w:rsid w:val="001D28C5"/>
    <w:rsid w:val="001D2E7E"/>
    <w:rsid w:val="001D52BA"/>
    <w:rsid w:val="001D5916"/>
    <w:rsid w:val="001E031C"/>
    <w:rsid w:val="001E2EDC"/>
    <w:rsid w:val="001E39C8"/>
    <w:rsid w:val="001E3E8A"/>
    <w:rsid w:val="001E7BAA"/>
    <w:rsid w:val="001F589A"/>
    <w:rsid w:val="001F6CD6"/>
    <w:rsid w:val="002012F6"/>
    <w:rsid w:val="00204DE5"/>
    <w:rsid w:val="00206242"/>
    <w:rsid w:val="002075A1"/>
    <w:rsid w:val="002126F5"/>
    <w:rsid w:val="00213BE2"/>
    <w:rsid w:val="00214D6A"/>
    <w:rsid w:val="00217080"/>
    <w:rsid w:val="002231A1"/>
    <w:rsid w:val="0023470D"/>
    <w:rsid w:val="002359AB"/>
    <w:rsid w:val="00240440"/>
    <w:rsid w:val="00240AE8"/>
    <w:rsid w:val="0024121F"/>
    <w:rsid w:val="00242726"/>
    <w:rsid w:val="002468C6"/>
    <w:rsid w:val="00246AEB"/>
    <w:rsid w:val="00250561"/>
    <w:rsid w:val="002524B5"/>
    <w:rsid w:val="0025267E"/>
    <w:rsid w:val="00254A80"/>
    <w:rsid w:val="0025597A"/>
    <w:rsid w:val="0025719D"/>
    <w:rsid w:val="002623A7"/>
    <w:rsid w:val="0026311F"/>
    <w:rsid w:val="002649C1"/>
    <w:rsid w:val="00265BD8"/>
    <w:rsid w:val="00265E5D"/>
    <w:rsid w:val="0026656C"/>
    <w:rsid w:val="002668F2"/>
    <w:rsid w:val="002702BD"/>
    <w:rsid w:val="00272CAF"/>
    <w:rsid w:val="002775E2"/>
    <w:rsid w:val="00280D76"/>
    <w:rsid w:val="00284BB3"/>
    <w:rsid w:val="00286BBD"/>
    <w:rsid w:val="00294554"/>
    <w:rsid w:val="00296270"/>
    <w:rsid w:val="00296B30"/>
    <w:rsid w:val="00297E66"/>
    <w:rsid w:val="002A0C00"/>
    <w:rsid w:val="002A0FFD"/>
    <w:rsid w:val="002A15AE"/>
    <w:rsid w:val="002A2D59"/>
    <w:rsid w:val="002B3B16"/>
    <w:rsid w:val="002C05E4"/>
    <w:rsid w:val="002C6632"/>
    <w:rsid w:val="002C6939"/>
    <w:rsid w:val="002C6BD7"/>
    <w:rsid w:val="002C7494"/>
    <w:rsid w:val="002D3132"/>
    <w:rsid w:val="002E0472"/>
    <w:rsid w:val="002E1875"/>
    <w:rsid w:val="002E34E1"/>
    <w:rsid w:val="002E38AF"/>
    <w:rsid w:val="002E3AC9"/>
    <w:rsid w:val="002E73A0"/>
    <w:rsid w:val="002F2385"/>
    <w:rsid w:val="002F4373"/>
    <w:rsid w:val="002F4D95"/>
    <w:rsid w:val="002F6462"/>
    <w:rsid w:val="002F7539"/>
    <w:rsid w:val="002F7F71"/>
    <w:rsid w:val="0030012F"/>
    <w:rsid w:val="00300BA5"/>
    <w:rsid w:val="0030382A"/>
    <w:rsid w:val="00305661"/>
    <w:rsid w:val="00311AB5"/>
    <w:rsid w:val="003121D9"/>
    <w:rsid w:val="0031375B"/>
    <w:rsid w:val="00314C32"/>
    <w:rsid w:val="00314E6C"/>
    <w:rsid w:val="00315D85"/>
    <w:rsid w:val="003174FC"/>
    <w:rsid w:val="0033345F"/>
    <w:rsid w:val="003358AE"/>
    <w:rsid w:val="0033602C"/>
    <w:rsid w:val="00340DF6"/>
    <w:rsid w:val="00342258"/>
    <w:rsid w:val="00342AEA"/>
    <w:rsid w:val="00343342"/>
    <w:rsid w:val="003448EF"/>
    <w:rsid w:val="00344C4C"/>
    <w:rsid w:val="00345579"/>
    <w:rsid w:val="00346836"/>
    <w:rsid w:val="00350DDE"/>
    <w:rsid w:val="00352093"/>
    <w:rsid w:val="003523F2"/>
    <w:rsid w:val="00354BE0"/>
    <w:rsid w:val="00354CA6"/>
    <w:rsid w:val="0036021F"/>
    <w:rsid w:val="00360431"/>
    <w:rsid w:val="00364C19"/>
    <w:rsid w:val="00365AA2"/>
    <w:rsid w:val="00366ABC"/>
    <w:rsid w:val="0037401E"/>
    <w:rsid w:val="00377130"/>
    <w:rsid w:val="003806FA"/>
    <w:rsid w:val="0038097F"/>
    <w:rsid w:val="00383E55"/>
    <w:rsid w:val="00385381"/>
    <w:rsid w:val="00394706"/>
    <w:rsid w:val="00395E32"/>
    <w:rsid w:val="00397FE4"/>
    <w:rsid w:val="003A4690"/>
    <w:rsid w:val="003A70D2"/>
    <w:rsid w:val="003B0369"/>
    <w:rsid w:val="003B4FCE"/>
    <w:rsid w:val="003B6A20"/>
    <w:rsid w:val="003C1A25"/>
    <w:rsid w:val="003C313E"/>
    <w:rsid w:val="003C6791"/>
    <w:rsid w:val="003D1640"/>
    <w:rsid w:val="003D191A"/>
    <w:rsid w:val="003D197F"/>
    <w:rsid w:val="003D35ED"/>
    <w:rsid w:val="003D4354"/>
    <w:rsid w:val="003D47C0"/>
    <w:rsid w:val="003E03F8"/>
    <w:rsid w:val="003E28FD"/>
    <w:rsid w:val="003E66DB"/>
    <w:rsid w:val="003E6F7C"/>
    <w:rsid w:val="003F03C2"/>
    <w:rsid w:val="003F4384"/>
    <w:rsid w:val="003F47F9"/>
    <w:rsid w:val="003F6285"/>
    <w:rsid w:val="003F69E7"/>
    <w:rsid w:val="003F6BFB"/>
    <w:rsid w:val="00400223"/>
    <w:rsid w:val="004008EC"/>
    <w:rsid w:val="004019A3"/>
    <w:rsid w:val="004056AC"/>
    <w:rsid w:val="00406B1A"/>
    <w:rsid w:val="00407506"/>
    <w:rsid w:val="004116CC"/>
    <w:rsid w:val="00413794"/>
    <w:rsid w:val="00413CAE"/>
    <w:rsid w:val="00420A3F"/>
    <w:rsid w:val="00423539"/>
    <w:rsid w:val="0042551F"/>
    <w:rsid w:val="00426B83"/>
    <w:rsid w:val="0042787C"/>
    <w:rsid w:val="00432055"/>
    <w:rsid w:val="00433260"/>
    <w:rsid w:val="00433D52"/>
    <w:rsid w:val="00434CAB"/>
    <w:rsid w:val="00441014"/>
    <w:rsid w:val="004520B4"/>
    <w:rsid w:val="0046109F"/>
    <w:rsid w:val="0046246C"/>
    <w:rsid w:val="00466331"/>
    <w:rsid w:val="00466E9B"/>
    <w:rsid w:val="00477BA5"/>
    <w:rsid w:val="00482673"/>
    <w:rsid w:val="00484B80"/>
    <w:rsid w:val="00485CC0"/>
    <w:rsid w:val="00486287"/>
    <w:rsid w:val="0048794B"/>
    <w:rsid w:val="0049268B"/>
    <w:rsid w:val="00492A34"/>
    <w:rsid w:val="004A2595"/>
    <w:rsid w:val="004A4688"/>
    <w:rsid w:val="004A5D07"/>
    <w:rsid w:val="004A79F2"/>
    <w:rsid w:val="004B10B5"/>
    <w:rsid w:val="004B6E49"/>
    <w:rsid w:val="004B7763"/>
    <w:rsid w:val="004B78B5"/>
    <w:rsid w:val="004B7C58"/>
    <w:rsid w:val="004C0D1D"/>
    <w:rsid w:val="004C229F"/>
    <w:rsid w:val="004C545B"/>
    <w:rsid w:val="004C61AF"/>
    <w:rsid w:val="004C62CB"/>
    <w:rsid w:val="004E2BE3"/>
    <w:rsid w:val="004E2F17"/>
    <w:rsid w:val="004E3C9A"/>
    <w:rsid w:val="004E6626"/>
    <w:rsid w:val="004E756F"/>
    <w:rsid w:val="004F2A1B"/>
    <w:rsid w:val="004F4827"/>
    <w:rsid w:val="004F48F0"/>
    <w:rsid w:val="004F64DF"/>
    <w:rsid w:val="004F771C"/>
    <w:rsid w:val="00500759"/>
    <w:rsid w:val="00500CB3"/>
    <w:rsid w:val="005017E1"/>
    <w:rsid w:val="005056E5"/>
    <w:rsid w:val="00506662"/>
    <w:rsid w:val="005078C9"/>
    <w:rsid w:val="005107F4"/>
    <w:rsid w:val="005113BC"/>
    <w:rsid w:val="00514504"/>
    <w:rsid w:val="00514781"/>
    <w:rsid w:val="00520634"/>
    <w:rsid w:val="00523D5F"/>
    <w:rsid w:val="00527F20"/>
    <w:rsid w:val="00530713"/>
    <w:rsid w:val="0053305E"/>
    <w:rsid w:val="0053343F"/>
    <w:rsid w:val="00535DBC"/>
    <w:rsid w:val="005408FD"/>
    <w:rsid w:val="0054768F"/>
    <w:rsid w:val="0054780E"/>
    <w:rsid w:val="005500C1"/>
    <w:rsid w:val="0055038C"/>
    <w:rsid w:val="00551BB2"/>
    <w:rsid w:val="00557034"/>
    <w:rsid w:val="005605A9"/>
    <w:rsid w:val="00560718"/>
    <w:rsid w:val="005616A5"/>
    <w:rsid w:val="00567B20"/>
    <w:rsid w:val="00570853"/>
    <w:rsid w:val="00571281"/>
    <w:rsid w:val="00572B6D"/>
    <w:rsid w:val="00576025"/>
    <w:rsid w:val="005760C7"/>
    <w:rsid w:val="0057610D"/>
    <w:rsid w:val="00581BEE"/>
    <w:rsid w:val="00582F55"/>
    <w:rsid w:val="00585662"/>
    <w:rsid w:val="00585DE3"/>
    <w:rsid w:val="005908A3"/>
    <w:rsid w:val="00592DE6"/>
    <w:rsid w:val="00593AAE"/>
    <w:rsid w:val="005951E8"/>
    <w:rsid w:val="005A18AC"/>
    <w:rsid w:val="005A1D66"/>
    <w:rsid w:val="005A22E4"/>
    <w:rsid w:val="005B13B5"/>
    <w:rsid w:val="005B312C"/>
    <w:rsid w:val="005B5878"/>
    <w:rsid w:val="005B641D"/>
    <w:rsid w:val="005C0422"/>
    <w:rsid w:val="005C3ADD"/>
    <w:rsid w:val="005C4BA5"/>
    <w:rsid w:val="005C4F5B"/>
    <w:rsid w:val="005D0D60"/>
    <w:rsid w:val="005D4A3B"/>
    <w:rsid w:val="005D4CCE"/>
    <w:rsid w:val="005D6FE8"/>
    <w:rsid w:val="005E3EFF"/>
    <w:rsid w:val="005E5067"/>
    <w:rsid w:val="005F1B12"/>
    <w:rsid w:val="005F25CC"/>
    <w:rsid w:val="005F2BCF"/>
    <w:rsid w:val="005F4E81"/>
    <w:rsid w:val="005F51A9"/>
    <w:rsid w:val="005F620A"/>
    <w:rsid w:val="005F7E1D"/>
    <w:rsid w:val="00602880"/>
    <w:rsid w:val="00606E9E"/>
    <w:rsid w:val="00607301"/>
    <w:rsid w:val="00607D0B"/>
    <w:rsid w:val="00610D0E"/>
    <w:rsid w:val="00611383"/>
    <w:rsid w:val="0061219F"/>
    <w:rsid w:val="0061234A"/>
    <w:rsid w:val="006125BD"/>
    <w:rsid w:val="00613C16"/>
    <w:rsid w:val="0061410F"/>
    <w:rsid w:val="006221E5"/>
    <w:rsid w:val="006232FA"/>
    <w:rsid w:val="00624201"/>
    <w:rsid w:val="00624B79"/>
    <w:rsid w:val="00625F7F"/>
    <w:rsid w:val="00626EC7"/>
    <w:rsid w:val="006301CE"/>
    <w:rsid w:val="00631110"/>
    <w:rsid w:val="00631EA0"/>
    <w:rsid w:val="0064139D"/>
    <w:rsid w:val="0064433B"/>
    <w:rsid w:val="00646F5A"/>
    <w:rsid w:val="00647BA9"/>
    <w:rsid w:val="00651D8C"/>
    <w:rsid w:val="00655785"/>
    <w:rsid w:val="00655D05"/>
    <w:rsid w:val="00660232"/>
    <w:rsid w:val="00661223"/>
    <w:rsid w:val="00661B6D"/>
    <w:rsid w:val="00664CC2"/>
    <w:rsid w:val="00665080"/>
    <w:rsid w:val="006719EE"/>
    <w:rsid w:val="00673751"/>
    <w:rsid w:val="006742E4"/>
    <w:rsid w:val="00675720"/>
    <w:rsid w:val="0067580C"/>
    <w:rsid w:val="00675DD9"/>
    <w:rsid w:val="00677839"/>
    <w:rsid w:val="00680297"/>
    <w:rsid w:val="00680F36"/>
    <w:rsid w:val="00681200"/>
    <w:rsid w:val="00690C3F"/>
    <w:rsid w:val="00691E9E"/>
    <w:rsid w:val="006932A4"/>
    <w:rsid w:val="00694CF6"/>
    <w:rsid w:val="00697767"/>
    <w:rsid w:val="00697998"/>
    <w:rsid w:val="00697FAF"/>
    <w:rsid w:val="006A0CF9"/>
    <w:rsid w:val="006A1442"/>
    <w:rsid w:val="006A2279"/>
    <w:rsid w:val="006A270C"/>
    <w:rsid w:val="006A59F6"/>
    <w:rsid w:val="006B1473"/>
    <w:rsid w:val="006B1845"/>
    <w:rsid w:val="006B1FE6"/>
    <w:rsid w:val="006B31ED"/>
    <w:rsid w:val="006B58E7"/>
    <w:rsid w:val="006B7B46"/>
    <w:rsid w:val="006C0F43"/>
    <w:rsid w:val="006C1C3E"/>
    <w:rsid w:val="006C4C4F"/>
    <w:rsid w:val="006D0035"/>
    <w:rsid w:val="006D0947"/>
    <w:rsid w:val="006D0CD3"/>
    <w:rsid w:val="006D38AD"/>
    <w:rsid w:val="006D5651"/>
    <w:rsid w:val="006D66F6"/>
    <w:rsid w:val="006E28EE"/>
    <w:rsid w:val="006E5729"/>
    <w:rsid w:val="006F064A"/>
    <w:rsid w:val="006F06C8"/>
    <w:rsid w:val="006F0ED7"/>
    <w:rsid w:val="006F1963"/>
    <w:rsid w:val="006F2C6D"/>
    <w:rsid w:val="006F3D6A"/>
    <w:rsid w:val="006F512B"/>
    <w:rsid w:val="006F648D"/>
    <w:rsid w:val="00701B2B"/>
    <w:rsid w:val="007023D7"/>
    <w:rsid w:val="007024CD"/>
    <w:rsid w:val="007069E0"/>
    <w:rsid w:val="0071212C"/>
    <w:rsid w:val="00713BB0"/>
    <w:rsid w:val="00714986"/>
    <w:rsid w:val="007153F4"/>
    <w:rsid w:val="00715559"/>
    <w:rsid w:val="00717383"/>
    <w:rsid w:val="00721387"/>
    <w:rsid w:val="007213C7"/>
    <w:rsid w:val="00726D88"/>
    <w:rsid w:val="00727724"/>
    <w:rsid w:val="0073158A"/>
    <w:rsid w:val="007377C7"/>
    <w:rsid w:val="007403D0"/>
    <w:rsid w:val="007406AD"/>
    <w:rsid w:val="007407A4"/>
    <w:rsid w:val="00740EE9"/>
    <w:rsid w:val="007410F3"/>
    <w:rsid w:val="00741511"/>
    <w:rsid w:val="0074358D"/>
    <w:rsid w:val="007453D0"/>
    <w:rsid w:val="0074721A"/>
    <w:rsid w:val="00747D41"/>
    <w:rsid w:val="00750A43"/>
    <w:rsid w:val="007513C2"/>
    <w:rsid w:val="007535F1"/>
    <w:rsid w:val="00756EB9"/>
    <w:rsid w:val="007604EC"/>
    <w:rsid w:val="00761A73"/>
    <w:rsid w:val="007638F7"/>
    <w:rsid w:val="00764186"/>
    <w:rsid w:val="007642F8"/>
    <w:rsid w:val="007707FE"/>
    <w:rsid w:val="0077099F"/>
    <w:rsid w:val="00770F92"/>
    <w:rsid w:val="00775B04"/>
    <w:rsid w:val="00777586"/>
    <w:rsid w:val="00780CC0"/>
    <w:rsid w:val="00781060"/>
    <w:rsid w:val="00781A8B"/>
    <w:rsid w:val="00785AA1"/>
    <w:rsid w:val="00791DB7"/>
    <w:rsid w:val="007955D5"/>
    <w:rsid w:val="00796DE4"/>
    <w:rsid w:val="00797CBC"/>
    <w:rsid w:val="007A08C6"/>
    <w:rsid w:val="007A40F0"/>
    <w:rsid w:val="007A61F9"/>
    <w:rsid w:val="007A745C"/>
    <w:rsid w:val="007B08A1"/>
    <w:rsid w:val="007B4351"/>
    <w:rsid w:val="007B4608"/>
    <w:rsid w:val="007B5F39"/>
    <w:rsid w:val="007B7D21"/>
    <w:rsid w:val="007C153A"/>
    <w:rsid w:val="007C378D"/>
    <w:rsid w:val="007C6A0F"/>
    <w:rsid w:val="007C7326"/>
    <w:rsid w:val="007D1256"/>
    <w:rsid w:val="007D3647"/>
    <w:rsid w:val="007D392C"/>
    <w:rsid w:val="007D4A2F"/>
    <w:rsid w:val="007D6F51"/>
    <w:rsid w:val="007E0C9A"/>
    <w:rsid w:val="007E2F00"/>
    <w:rsid w:val="007E59B7"/>
    <w:rsid w:val="007E6574"/>
    <w:rsid w:val="007E69A0"/>
    <w:rsid w:val="007E6F03"/>
    <w:rsid w:val="007E70BE"/>
    <w:rsid w:val="007F09D7"/>
    <w:rsid w:val="007F4563"/>
    <w:rsid w:val="007F5753"/>
    <w:rsid w:val="007F6299"/>
    <w:rsid w:val="007F6C2A"/>
    <w:rsid w:val="00805A59"/>
    <w:rsid w:val="00810A28"/>
    <w:rsid w:val="00811696"/>
    <w:rsid w:val="0081655B"/>
    <w:rsid w:val="00817723"/>
    <w:rsid w:val="008177E8"/>
    <w:rsid w:val="0082052D"/>
    <w:rsid w:val="00822485"/>
    <w:rsid w:val="008246A3"/>
    <w:rsid w:val="00826C6B"/>
    <w:rsid w:val="008361D2"/>
    <w:rsid w:val="008411FA"/>
    <w:rsid w:val="008441C4"/>
    <w:rsid w:val="00845709"/>
    <w:rsid w:val="00847D3D"/>
    <w:rsid w:val="00851E8A"/>
    <w:rsid w:val="00852AF7"/>
    <w:rsid w:val="00853A6E"/>
    <w:rsid w:val="00856044"/>
    <w:rsid w:val="0085742D"/>
    <w:rsid w:val="00860444"/>
    <w:rsid w:val="00862560"/>
    <w:rsid w:val="008631E7"/>
    <w:rsid w:val="0087003A"/>
    <w:rsid w:val="00873DA0"/>
    <w:rsid w:val="00874A48"/>
    <w:rsid w:val="0088270C"/>
    <w:rsid w:val="00882EF8"/>
    <w:rsid w:val="00885C58"/>
    <w:rsid w:val="00890632"/>
    <w:rsid w:val="008927C2"/>
    <w:rsid w:val="00896150"/>
    <w:rsid w:val="00897747"/>
    <w:rsid w:val="008A25BA"/>
    <w:rsid w:val="008A3B7F"/>
    <w:rsid w:val="008A4A34"/>
    <w:rsid w:val="008A6D4E"/>
    <w:rsid w:val="008A7A60"/>
    <w:rsid w:val="008B7568"/>
    <w:rsid w:val="008B75A4"/>
    <w:rsid w:val="008C0081"/>
    <w:rsid w:val="008C0F86"/>
    <w:rsid w:val="008C2C60"/>
    <w:rsid w:val="008C2DBA"/>
    <w:rsid w:val="008C4D66"/>
    <w:rsid w:val="008C5D13"/>
    <w:rsid w:val="008D15E5"/>
    <w:rsid w:val="008D285E"/>
    <w:rsid w:val="008D52CA"/>
    <w:rsid w:val="008D63EE"/>
    <w:rsid w:val="008E271F"/>
    <w:rsid w:val="008E41A8"/>
    <w:rsid w:val="008E6E6E"/>
    <w:rsid w:val="008F570B"/>
    <w:rsid w:val="0090077C"/>
    <w:rsid w:val="00903C66"/>
    <w:rsid w:val="0090424E"/>
    <w:rsid w:val="009045E1"/>
    <w:rsid w:val="00905CDB"/>
    <w:rsid w:val="00905DEE"/>
    <w:rsid w:val="0090678A"/>
    <w:rsid w:val="00907BC1"/>
    <w:rsid w:val="00912368"/>
    <w:rsid w:val="00914137"/>
    <w:rsid w:val="009151CC"/>
    <w:rsid w:val="00916B0C"/>
    <w:rsid w:val="009256DA"/>
    <w:rsid w:val="00925748"/>
    <w:rsid w:val="00931780"/>
    <w:rsid w:val="00931ADF"/>
    <w:rsid w:val="00933488"/>
    <w:rsid w:val="0093446A"/>
    <w:rsid w:val="00934E6F"/>
    <w:rsid w:val="009369A6"/>
    <w:rsid w:val="009379DF"/>
    <w:rsid w:val="00942AC5"/>
    <w:rsid w:val="00945277"/>
    <w:rsid w:val="00945547"/>
    <w:rsid w:val="00950FAE"/>
    <w:rsid w:val="00953BCA"/>
    <w:rsid w:val="00954C6B"/>
    <w:rsid w:val="00956FDF"/>
    <w:rsid w:val="00962F33"/>
    <w:rsid w:val="009641B0"/>
    <w:rsid w:val="00966021"/>
    <w:rsid w:val="00967193"/>
    <w:rsid w:val="00970827"/>
    <w:rsid w:val="009714C5"/>
    <w:rsid w:val="009736E7"/>
    <w:rsid w:val="00974198"/>
    <w:rsid w:val="009744E9"/>
    <w:rsid w:val="009745CF"/>
    <w:rsid w:val="009808C0"/>
    <w:rsid w:val="00983EAB"/>
    <w:rsid w:val="009843C3"/>
    <w:rsid w:val="00986031"/>
    <w:rsid w:val="00987A40"/>
    <w:rsid w:val="00991C58"/>
    <w:rsid w:val="009927B0"/>
    <w:rsid w:val="00996AA5"/>
    <w:rsid w:val="00997100"/>
    <w:rsid w:val="009A2046"/>
    <w:rsid w:val="009A2139"/>
    <w:rsid w:val="009A29E0"/>
    <w:rsid w:val="009A4AC8"/>
    <w:rsid w:val="009A63FB"/>
    <w:rsid w:val="009A6F73"/>
    <w:rsid w:val="009A7D81"/>
    <w:rsid w:val="009B085E"/>
    <w:rsid w:val="009B28BB"/>
    <w:rsid w:val="009B3C71"/>
    <w:rsid w:val="009B42F4"/>
    <w:rsid w:val="009B447E"/>
    <w:rsid w:val="009B451C"/>
    <w:rsid w:val="009B6B1D"/>
    <w:rsid w:val="009C208C"/>
    <w:rsid w:val="009C3257"/>
    <w:rsid w:val="009C3332"/>
    <w:rsid w:val="009C7A22"/>
    <w:rsid w:val="009D363E"/>
    <w:rsid w:val="009D4901"/>
    <w:rsid w:val="009E1A17"/>
    <w:rsid w:val="009E4879"/>
    <w:rsid w:val="009E5402"/>
    <w:rsid w:val="009E65E6"/>
    <w:rsid w:val="009F14F2"/>
    <w:rsid w:val="009F213F"/>
    <w:rsid w:val="009F3D80"/>
    <w:rsid w:val="009F6401"/>
    <w:rsid w:val="009F749E"/>
    <w:rsid w:val="00A0351F"/>
    <w:rsid w:val="00A07D5E"/>
    <w:rsid w:val="00A07F7B"/>
    <w:rsid w:val="00A15F5F"/>
    <w:rsid w:val="00A2096A"/>
    <w:rsid w:val="00A23D2C"/>
    <w:rsid w:val="00A23F0C"/>
    <w:rsid w:val="00A26AEC"/>
    <w:rsid w:val="00A279AD"/>
    <w:rsid w:val="00A3011D"/>
    <w:rsid w:val="00A40BD2"/>
    <w:rsid w:val="00A4236B"/>
    <w:rsid w:val="00A42B65"/>
    <w:rsid w:val="00A45256"/>
    <w:rsid w:val="00A46DEF"/>
    <w:rsid w:val="00A557CC"/>
    <w:rsid w:val="00A571B9"/>
    <w:rsid w:val="00A57274"/>
    <w:rsid w:val="00A61867"/>
    <w:rsid w:val="00A618B6"/>
    <w:rsid w:val="00A61A74"/>
    <w:rsid w:val="00A62959"/>
    <w:rsid w:val="00A67362"/>
    <w:rsid w:val="00A70477"/>
    <w:rsid w:val="00A7262E"/>
    <w:rsid w:val="00A73BDD"/>
    <w:rsid w:val="00A83F7C"/>
    <w:rsid w:val="00A8405E"/>
    <w:rsid w:val="00A8413B"/>
    <w:rsid w:val="00A844E0"/>
    <w:rsid w:val="00A853AE"/>
    <w:rsid w:val="00A8633F"/>
    <w:rsid w:val="00A867FB"/>
    <w:rsid w:val="00A93432"/>
    <w:rsid w:val="00A93E80"/>
    <w:rsid w:val="00AA1271"/>
    <w:rsid w:val="00AA364C"/>
    <w:rsid w:val="00AA430F"/>
    <w:rsid w:val="00AA537D"/>
    <w:rsid w:val="00AA6D95"/>
    <w:rsid w:val="00AA7477"/>
    <w:rsid w:val="00AB0020"/>
    <w:rsid w:val="00AB0BE7"/>
    <w:rsid w:val="00AB1F95"/>
    <w:rsid w:val="00AB460F"/>
    <w:rsid w:val="00AB61A7"/>
    <w:rsid w:val="00AB7E83"/>
    <w:rsid w:val="00AC0AE1"/>
    <w:rsid w:val="00AC26E4"/>
    <w:rsid w:val="00AC48DF"/>
    <w:rsid w:val="00AC6738"/>
    <w:rsid w:val="00AC7AB3"/>
    <w:rsid w:val="00AC7D96"/>
    <w:rsid w:val="00AD02F0"/>
    <w:rsid w:val="00AE1E36"/>
    <w:rsid w:val="00AE3AD1"/>
    <w:rsid w:val="00AE3CEF"/>
    <w:rsid w:val="00AF65E3"/>
    <w:rsid w:val="00AF7F34"/>
    <w:rsid w:val="00B00B86"/>
    <w:rsid w:val="00B02ADF"/>
    <w:rsid w:val="00B04D3D"/>
    <w:rsid w:val="00B0550A"/>
    <w:rsid w:val="00B05D03"/>
    <w:rsid w:val="00B10CC3"/>
    <w:rsid w:val="00B10E96"/>
    <w:rsid w:val="00B11F6A"/>
    <w:rsid w:val="00B15B4B"/>
    <w:rsid w:val="00B22B2E"/>
    <w:rsid w:val="00B2323B"/>
    <w:rsid w:val="00B24E12"/>
    <w:rsid w:val="00B336D9"/>
    <w:rsid w:val="00B3622B"/>
    <w:rsid w:val="00B41CE1"/>
    <w:rsid w:val="00B4223B"/>
    <w:rsid w:val="00B506F9"/>
    <w:rsid w:val="00B512D5"/>
    <w:rsid w:val="00B535CF"/>
    <w:rsid w:val="00B55C60"/>
    <w:rsid w:val="00B5603E"/>
    <w:rsid w:val="00B60EDC"/>
    <w:rsid w:val="00B63C7A"/>
    <w:rsid w:val="00B71193"/>
    <w:rsid w:val="00B737D9"/>
    <w:rsid w:val="00B73F1E"/>
    <w:rsid w:val="00B7497B"/>
    <w:rsid w:val="00B76D50"/>
    <w:rsid w:val="00B81224"/>
    <w:rsid w:val="00B81D31"/>
    <w:rsid w:val="00B829DD"/>
    <w:rsid w:val="00B85D11"/>
    <w:rsid w:val="00B86676"/>
    <w:rsid w:val="00B907A5"/>
    <w:rsid w:val="00B9420E"/>
    <w:rsid w:val="00B953E8"/>
    <w:rsid w:val="00B955A9"/>
    <w:rsid w:val="00B97C8F"/>
    <w:rsid w:val="00BA09DC"/>
    <w:rsid w:val="00BA1BE7"/>
    <w:rsid w:val="00BA3101"/>
    <w:rsid w:val="00BB0CC4"/>
    <w:rsid w:val="00BB18B8"/>
    <w:rsid w:val="00BC6393"/>
    <w:rsid w:val="00BC649F"/>
    <w:rsid w:val="00BD52AF"/>
    <w:rsid w:val="00BD5A81"/>
    <w:rsid w:val="00BE03D2"/>
    <w:rsid w:val="00BE1488"/>
    <w:rsid w:val="00BE15EC"/>
    <w:rsid w:val="00BE1FDC"/>
    <w:rsid w:val="00BE2EC8"/>
    <w:rsid w:val="00BE5308"/>
    <w:rsid w:val="00BE6525"/>
    <w:rsid w:val="00BE76C3"/>
    <w:rsid w:val="00BF203A"/>
    <w:rsid w:val="00BF3DD3"/>
    <w:rsid w:val="00BF58A9"/>
    <w:rsid w:val="00BF69E1"/>
    <w:rsid w:val="00C023EE"/>
    <w:rsid w:val="00C05D07"/>
    <w:rsid w:val="00C07F29"/>
    <w:rsid w:val="00C118A7"/>
    <w:rsid w:val="00C138F4"/>
    <w:rsid w:val="00C139CB"/>
    <w:rsid w:val="00C263CA"/>
    <w:rsid w:val="00C314F0"/>
    <w:rsid w:val="00C32C35"/>
    <w:rsid w:val="00C32F08"/>
    <w:rsid w:val="00C34376"/>
    <w:rsid w:val="00C34E2E"/>
    <w:rsid w:val="00C3538F"/>
    <w:rsid w:val="00C41F87"/>
    <w:rsid w:val="00C427FE"/>
    <w:rsid w:val="00C44E4E"/>
    <w:rsid w:val="00C506EF"/>
    <w:rsid w:val="00C53245"/>
    <w:rsid w:val="00C54E63"/>
    <w:rsid w:val="00C5540E"/>
    <w:rsid w:val="00C5648B"/>
    <w:rsid w:val="00C6155A"/>
    <w:rsid w:val="00C61896"/>
    <w:rsid w:val="00C6445D"/>
    <w:rsid w:val="00C6528F"/>
    <w:rsid w:val="00C6531B"/>
    <w:rsid w:val="00C65925"/>
    <w:rsid w:val="00C7717D"/>
    <w:rsid w:val="00C8222C"/>
    <w:rsid w:val="00C9075D"/>
    <w:rsid w:val="00C91F52"/>
    <w:rsid w:val="00C92C9A"/>
    <w:rsid w:val="00C96A87"/>
    <w:rsid w:val="00C97BAD"/>
    <w:rsid w:val="00CA0BEA"/>
    <w:rsid w:val="00CA4EE2"/>
    <w:rsid w:val="00CA5563"/>
    <w:rsid w:val="00CA6177"/>
    <w:rsid w:val="00CA63C0"/>
    <w:rsid w:val="00CA67DE"/>
    <w:rsid w:val="00CB25DF"/>
    <w:rsid w:val="00CB5CD7"/>
    <w:rsid w:val="00CB6392"/>
    <w:rsid w:val="00CB63B1"/>
    <w:rsid w:val="00CB6548"/>
    <w:rsid w:val="00CB77D7"/>
    <w:rsid w:val="00CC02CE"/>
    <w:rsid w:val="00CC0B04"/>
    <w:rsid w:val="00CC2F68"/>
    <w:rsid w:val="00CC49EB"/>
    <w:rsid w:val="00CC534E"/>
    <w:rsid w:val="00CD4C62"/>
    <w:rsid w:val="00CD52F5"/>
    <w:rsid w:val="00CD5A48"/>
    <w:rsid w:val="00CD6014"/>
    <w:rsid w:val="00CD64A2"/>
    <w:rsid w:val="00CD7F1A"/>
    <w:rsid w:val="00CE3497"/>
    <w:rsid w:val="00CE3D82"/>
    <w:rsid w:val="00CE4E6F"/>
    <w:rsid w:val="00CE4EF0"/>
    <w:rsid w:val="00CE7DF0"/>
    <w:rsid w:val="00CF01B4"/>
    <w:rsid w:val="00CF09A4"/>
    <w:rsid w:val="00CF3635"/>
    <w:rsid w:val="00CF4763"/>
    <w:rsid w:val="00CF5441"/>
    <w:rsid w:val="00CF58DC"/>
    <w:rsid w:val="00CF68F2"/>
    <w:rsid w:val="00CF7370"/>
    <w:rsid w:val="00D0287B"/>
    <w:rsid w:val="00D03020"/>
    <w:rsid w:val="00D03471"/>
    <w:rsid w:val="00D037B4"/>
    <w:rsid w:val="00D0474F"/>
    <w:rsid w:val="00D05386"/>
    <w:rsid w:val="00D11251"/>
    <w:rsid w:val="00D11341"/>
    <w:rsid w:val="00D12BAF"/>
    <w:rsid w:val="00D15F63"/>
    <w:rsid w:val="00D16B76"/>
    <w:rsid w:val="00D17036"/>
    <w:rsid w:val="00D20079"/>
    <w:rsid w:val="00D20997"/>
    <w:rsid w:val="00D24121"/>
    <w:rsid w:val="00D26552"/>
    <w:rsid w:val="00D32B99"/>
    <w:rsid w:val="00D33CEB"/>
    <w:rsid w:val="00D33EE4"/>
    <w:rsid w:val="00D3547C"/>
    <w:rsid w:val="00D35785"/>
    <w:rsid w:val="00D37B4E"/>
    <w:rsid w:val="00D40F54"/>
    <w:rsid w:val="00D42690"/>
    <w:rsid w:val="00D44670"/>
    <w:rsid w:val="00D6273E"/>
    <w:rsid w:val="00D64011"/>
    <w:rsid w:val="00D66398"/>
    <w:rsid w:val="00D67B50"/>
    <w:rsid w:val="00D7014D"/>
    <w:rsid w:val="00D71D82"/>
    <w:rsid w:val="00D7319B"/>
    <w:rsid w:val="00D7398C"/>
    <w:rsid w:val="00D7628B"/>
    <w:rsid w:val="00D77CD6"/>
    <w:rsid w:val="00D80475"/>
    <w:rsid w:val="00D80503"/>
    <w:rsid w:val="00D8212C"/>
    <w:rsid w:val="00D83EE8"/>
    <w:rsid w:val="00D8466C"/>
    <w:rsid w:val="00D86A15"/>
    <w:rsid w:val="00D9057D"/>
    <w:rsid w:val="00D92981"/>
    <w:rsid w:val="00D9362D"/>
    <w:rsid w:val="00D93D48"/>
    <w:rsid w:val="00DA1111"/>
    <w:rsid w:val="00DA6464"/>
    <w:rsid w:val="00DB06C5"/>
    <w:rsid w:val="00DB0CFE"/>
    <w:rsid w:val="00DB327F"/>
    <w:rsid w:val="00DB4746"/>
    <w:rsid w:val="00DB5F56"/>
    <w:rsid w:val="00DC0389"/>
    <w:rsid w:val="00DC0D98"/>
    <w:rsid w:val="00DC16A4"/>
    <w:rsid w:val="00DC16F7"/>
    <w:rsid w:val="00DC1A94"/>
    <w:rsid w:val="00DC2B9C"/>
    <w:rsid w:val="00DC4CBD"/>
    <w:rsid w:val="00DD3B3C"/>
    <w:rsid w:val="00DD656B"/>
    <w:rsid w:val="00DD7225"/>
    <w:rsid w:val="00DE5006"/>
    <w:rsid w:val="00E03454"/>
    <w:rsid w:val="00E03A0C"/>
    <w:rsid w:val="00E03E02"/>
    <w:rsid w:val="00E0499B"/>
    <w:rsid w:val="00E076E8"/>
    <w:rsid w:val="00E07D09"/>
    <w:rsid w:val="00E10A09"/>
    <w:rsid w:val="00E10CD6"/>
    <w:rsid w:val="00E15AD8"/>
    <w:rsid w:val="00E15B88"/>
    <w:rsid w:val="00E16D0E"/>
    <w:rsid w:val="00E2653A"/>
    <w:rsid w:val="00E34AA6"/>
    <w:rsid w:val="00E350F9"/>
    <w:rsid w:val="00E36456"/>
    <w:rsid w:val="00E418DD"/>
    <w:rsid w:val="00E41B8E"/>
    <w:rsid w:val="00E4602A"/>
    <w:rsid w:val="00E47F14"/>
    <w:rsid w:val="00E500A6"/>
    <w:rsid w:val="00E5368C"/>
    <w:rsid w:val="00E539CE"/>
    <w:rsid w:val="00E547E9"/>
    <w:rsid w:val="00E5481D"/>
    <w:rsid w:val="00E55CD5"/>
    <w:rsid w:val="00E63605"/>
    <w:rsid w:val="00E6471D"/>
    <w:rsid w:val="00E6744E"/>
    <w:rsid w:val="00E72A41"/>
    <w:rsid w:val="00E73FB6"/>
    <w:rsid w:val="00E74993"/>
    <w:rsid w:val="00E74A5A"/>
    <w:rsid w:val="00E80ACE"/>
    <w:rsid w:val="00E81D12"/>
    <w:rsid w:val="00E83513"/>
    <w:rsid w:val="00E8459C"/>
    <w:rsid w:val="00E87CFD"/>
    <w:rsid w:val="00E90E93"/>
    <w:rsid w:val="00E91156"/>
    <w:rsid w:val="00E91869"/>
    <w:rsid w:val="00E937C1"/>
    <w:rsid w:val="00E94FAC"/>
    <w:rsid w:val="00E95DE2"/>
    <w:rsid w:val="00EA2AA9"/>
    <w:rsid w:val="00EA4EEB"/>
    <w:rsid w:val="00EA4FB1"/>
    <w:rsid w:val="00EA5966"/>
    <w:rsid w:val="00EB15B7"/>
    <w:rsid w:val="00EB5FA5"/>
    <w:rsid w:val="00EB7A49"/>
    <w:rsid w:val="00EC1648"/>
    <w:rsid w:val="00EC4A3D"/>
    <w:rsid w:val="00EC52A6"/>
    <w:rsid w:val="00EC53DB"/>
    <w:rsid w:val="00EC70F9"/>
    <w:rsid w:val="00ED1B79"/>
    <w:rsid w:val="00ED1FC9"/>
    <w:rsid w:val="00ED22E1"/>
    <w:rsid w:val="00ED5570"/>
    <w:rsid w:val="00EE3CFF"/>
    <w:rsid w:val="00EE3FCB"/>
    <w:rsid w:val="00EE4A03"/>
    <w:rsid w:val="00EE5F6D"/>
    <w:rsid w:val="00EE778E"/>
    <w:rsid w:val="00EF6B83"/>
    <w:rsid w:val="00F03696"/>
    <w:rsid w:val="00F14A93"/>
    <w:rsid w:val="00F22B0B"/>
    <w:rsid w:val="00F24141"/>
    <w:rsid w:val="00F24BBD"/>
    <w:rsid w:val="00F30891"/>
    <w:rsid w:val="00F30D66"/>
    <w:rsid w:val="00F31830"/>
    <w:rsid w:val="00F32E99"/>
    <w:rsid w:val="00F341DB"/>
    <w:rsid w:val="00F35347"/>
    <w:rsid w:val="00F36C47"/>
    <w:rsid w:val="00F46EF3"/>
    <w:rsid w:val="00F50B0D"/>
    <w:rsid w:val="00F52619"/>
    <w:rsid w:val="00F5419A"/>
    <w:rsid w:val="00F54DC2"/>
    <w:rsid w:val="00F60B3C"/>
    <w:rsid w:val="00F63193"/>
    <w:rsid w:val="00F7019E"/>
    <w:rsid w:val="00F707B2"/>
    <w:rsid w:val="00F7296D"/>
    <w:rsid w:val="00F741C8"/>
    <w:rsid w:val="00F81667"/>
    <w:rsid w:val="00F82AFE"/>
    <w:rsid w:val="00F844F2"/>
    <w:rsid w:val="00F84923"/>
    <w:rsid w:val="00F86496"/>
    <w:rsid w:val="00F921DC"/>
    <w:rsid w:val="00F9275A"/>
    <w:rsid w:val="00F93B0C"/>
    <w:rsid w:val="00F96FBF"/>
    <w:rsid w:val="00F97DDE"/>
    <w:rsid w:val="00FA312F"/>
    <w:rsid w:val="00FA43C1"/>
    <w:rsid w:val="00FA5597"/>
    <w:rsid w:val="00FA565E"/>
    <w:rsid w:val="00FA7A56"/>
    <w:rsid w:val="00FB228F"/>
    <w:rsid w:val="00FB276E"/>
    <w:rsid w:val="00FB2E64"/>
    <w:rsid w:val="00FB54CA"/>
    <w:rsid w:val="00FB56B0"/>
    <w:rsid w:val="00FB678F"/>
    <w:rsid w:val="00FC1E87"/>
    <w:rsid w:val="00FC6397"/>
    <w:rsid w:val="00FC789C"/>
    <w:rsid w:val="00FC7B57"/>
    <w:rsid w:val="00FD0CB7"/>
    <w:rsid w:val="00FD203F"/>
    <w:rsid w:val="00FD5D6B"/>
    <w:rsid w:val="00FE0585"/>
    <w:rsid w:val="00FE458E"/>
    <w:rsid w:val="00FE6A7B"/>
    <w:rsid w:val="00FF0404"/>
    <w:rsid w:val="00FF23D8"/>
    <w:rsid w:val="00FF3416"/>
    <w:rsid w:val="00FF5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3806FA"/>
    <w:rPr>
      <w:sz w:val="16"/>
      <w:szCs w:val="16"/>
    </w:rPr>
  </w:style>
  <w:style w:type="paragraph" w:styleId="AklamaMetni">
    <w:name w:val="annotation text"/>
    <w:basedOn w:val="Normal"/>
    <w:link w:val="AklamaMetniChar"/>
    <w:uiPriority w:val="99"/>
    <w:unhideWhenUsed/>
    <w:rsid w:val="003806FA"/>
    <w:rPr>
      <w:sz w:val="20"/>
      <w:szCs w:val="20"/>
    </w:rPr>
  </w:style>
  <w:style w:type="character" w:customStyle="1" w:styleId="AklamaMetniChar">
    <w:name w:val="Açıklama Metni Char"/>
    <w:link w:val="AklamaMetni"/>
    <w:uiPriority w:val="99"/>
    <w:rsid w:val="003806FA"/>
    <w:rPr>
      <w:lang w:eastAsia="en-US"/>
    </w:rPr>
  </w:style>
  <w:style w:type="paragraph" w:styleId="AklamaKonusu">
    <w:name w:val="annotation subject"/>
    <w:basedOn w:val="AklamaMetni"/>
    <w:next w:val="AklamaMetni"/>
    <w:link w:val="AklamaKonusuChar"/>
    <w:uiPriority w:val="99"/>
    <w:semiHidden/>
    <w:unhideWhenUsed/>
    <w:rsid w:val="003806FA"/>
    <w:rPr>
      <w:b/>
      <w:bCs/>
    </w:rPr>
  </w:style>
  <w:style w:type="character" w:customStyle="1" w:styleId="AklamaKonusuChar">
    <w:name w:val="Açıklama Konusu Char"/>
    <w:link w:val="AklamaKonusu"/>
    <w:uiPriority w:val="99"/>
    <w:semiHidden/>
    <w:rsid w:val="003806FA"/>
    <w:rPr>
      <w:b/>
      <w:bCs/>
      <w:lang w:eastAsia="en-US"/>
    </w:rPr>
  </w:style>
  <w:style w:type="paragraph" w:styleId="Dzeltme">
    <w:name w:val="Revision"/>
    <w:hidden/>
    <w:uiPriority w:val="99"/>
    <w:semiHidden/>
    <w:rsid w:val="00A2096A"/>
    <w:rPr>
      <w:sz w:val="22"/>
      <w:szCs w:val="22"/>
      <w:lang w:eastAsia="en-US"/>
    </w:rPr>
  </w:style>
  <w:style w:type="paragraph" w:styleId="DzMetin">
    <w:name w:val="Plain Text"/>
    <w:basedOn w:val="Normal"/>
    <w:link w:val="DzMetinChar"/>
    <w:uiPriority w:val="99"/>
    <w:semiHidden/>
    <w:unhideWhenUsed/>
    <w:rsid w:val="00585662"/>
    <w:pPr>
      <w:spacing w:after="0" w:line="240" w:lineRule="auto"/>
    </w:pPr>
    <w:rPr>
      <w:lang w:eastAsia="tr-TR"/>
    </w:rPr>
  </w:style>
  <w:style w:type="character" w:customStyle="1" w:styleId="DzMetinChar">
    <w:name w:val="Düz Metin Char"/>
    <w:link w:val="DzMetin"/>
    <w:uiPriority w:val="99"/>
    <w:semiHidden/>
    <w:rsid w:val="005856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3806FA"/>
    <w:rPr>
      <w:sz w:val="16"/>
      <w:szCs w:val="16"/>
    </w:rPr>
  </w:style>
  <w:style w:type="paragraph" w:styleId="AklamaMetni">
    <w:name w:val="annotation text"/>
    <w:basedOn w:val="Normal"/>
    <w:link w:val="AklamaMetniChar"/>
    <w:uiPriority w:val="99"/>
    <w:unhideWhenUsed/>
    <w:rsid w:val="003806FA"/>
    <w:rPr>
      <w:sz w:val="20"/>
      <w:szCs w:val="20"/>
    </w:rPr>
  </w:style>
  <w:style w:type="character" w:customStyle="1" w:styleId="AklamaMetniChar">
    <w:name w:val="Açıklama Metni Char"/>
    <w:link w:val="AklamaMetni"/>
    <w:uiPriority w:val="99"/>
    <w:rsid w:val="003806FA"/>
    <w:rPr>
      <w:lang w:eastAsia="en-US"/>
    </w:rPr>
  </w:style>
  <w:style w:type="paragraph" w:styleId="AklamaKonusu">
    <w:name w:val="annotation subject"/>
    <w:basedOn w:val="AklamaMetni"/>
    <w:next w:val="AklamaMetni"/>
    <w:link w:val="AklamaKonusuChar"/>
    <w:uiPriority w:val="99"/>
    <w:semiHidden/>
    <w:unhideWhenUsed/>
    <w:rsid w:val="003806FA"/>
    <w:rPr>
      <w:b/>
      <w:bCs/>
    </w:rPr>
  </w:style>
  <w:style w:type="character" w:customStyle="1" w:styleId="AklamaKonusuChar">
    <w:name w:val="Açıklama Konusu Char"/>
    <w:link w:val="AklamaKonusu"/>
    <w:uiPriority w:val="99"/>
    <w:semiHidden/>
    <w:rsid w:val="003806FA"/>
    <w:rPr>
      <w:b/>
      <w:bCs/>
      <w:lang w:eastAsia="en-US"/>
    </w:rPr>
  </w:style>
  <w:style w:type="paragraph" w:styleId="Dzeltme">
    <w:name w:val="Revision"/>
    <w:hidden/>
    <w:uiPriority w:val="99"/>
    <w:semiHidden/>
    <w:rsid w:val="00A2096A"/>
    <w:rPr>
      <w:sz w:val="22"/>
      <w:szCs w:val="22"/>
      <w:lang w:eastAsia="en-US"/>
    </w:rPr>
  </w:style>
  <w:style w:type="paragraph" w:styleId="DzMetin">
    <w:name w:val="Plain Text"/>
    <w:basedOn w:val="Normal"/>
    <w:link w:val="DzMetinChar"/>
    <w:uiPriority w:val="99"/>
    <w:semiHidden/>
    <w:unhideWhenUsed/>
    <w:rsid w:val="00585662"/>
    <w:pPr>
      <w:spacing w:after="0" w:line="240" w:lineRule="auto"/>
    </w:pPr>
    <w:rPr>
      <w:lang w:eastAsia="tr-TR"/>
    </w:rPr>
  </w:style>
  <w:style w:type="character" w:customStyle="1" w:styleId="DzMetinChar">
    <w:name w:val="Düz Metin Char"/>
    <w:link w:val="DzMetin"/>
    <w:uiPriority w:val="99"/>
    <w:semiHidden/>
    <w:rsid w:val="005856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1382">
      <w:bodyDiv w:val="1"/>
      <w:marLeft w:val="0"/>
      <w:marRight w:val="0"/>
      <w:marTop w:val="0"/>
      <w:marBottom w:val="0"/>
      <w:divBdr>
        <w:top w:val="none" w:sz="0" w:space="0" w:color="auto"/>
        <w:left w:val="none" w:sz="0" w:space="0" w:color="auto"/>
        <w:bottom w:val="none" w:sz="0" w:space="0" w:color="auto"/>
        <w:right w:val="none" w:sz="0" w:space="0" w:color="auto"/>
      </w:divBdr>
    </w:div>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587615232">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8440-1020-4693-9961-0B500246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14459</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Pakize BOLAT</cp:lastModifiedBy>
  <cp:revision>2</cp:revision>
  <cp:lastPrinted>2015-08-31T08:01:00Z</cp:lastPrinted>
  <dcterms:created xsi:type="dcterms:W3CDTF">2015-08-31T08:13:00Z</dcterms:created>
  <dcterms:modified xsi:type="dcterms:W3CDTF">2015-08-31T08:13:00Z</dcterms:modified>
</cp:coreProperties>
</file>