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C2" w:rsidRPr="00B13CC2" w:rsidRDefault="00B13CC2" w:rsidP="00B13CC2">
      <w:pPr>
        <w:jc w:val="both"/>
        <w:rPr>
          <w:rFonts w:ascii="Arial" w:hAnsi="Arial" w:cs="Arial"/>
          <w:bCs/>
        </w:rPr>
      </w:pPr>
      <w:r w:rsidRPr="00B13CC2">
        <w:rPr>
          <w:rFonts w:ascii="Arial" w:hAnsi="Arial" w:cs="Arial"/>
          <w:b/>
          <w:bCs/>
        </w:rPr>
        <w:t>Kanun No</w:t>
      </w:r>
      <w:r w:rsidRPr="00B13CC2">
        <w:rPr>
          <w:rFonts w:ascii="Arial" w:hAnsi="Arial" w:cs="Arial"/>
          <w:b/>
          <w:bCs/>
        </w:rPr>
        <w:tab/>
        <w:t>: 7319</w:t>
      </w:r>
      <w:r w:rsidRPr="00B13CC2">
        <w:rPr>
          <w:rFonts w:ascii="Arial" w:hAnsi="Arial" w:cs="Arial"/>
          <w:bCs/>
        </w:rPr>
        <w:t xml:space="preserve">            </w:t>
      </w:r>
      <w:r w:rsidRPr="00B13CC2">
        <w:rPr>
          <w:rFonts w:ascii="Arial" w:hAnsi="Arial" w:cs="Arial"/>
          <w:bCs/>
        </w:rPr>
        <w:tab/>
      </w:r>
      <w:r w:rsidRPr="00B13CC2">
        <w:rPr>
          <w:rFonts w:ascii="Arial" w:hAnsi="Arial" w:cs="Arial"/>
          <w:bCs/>
        </w:rPr>
        <w:tab/>
        <w:t xml:space="preserve">    </w:t>
      </w:r>
      <w:r w:rsidRPr="00B13CC2">
        <w:rPr>
          <w:rFonts w:ascii="Arial" w:hAnsi="Arial" w:cs="Arial"/>
          <w:bCs/>
        </w:rPr>
        <w:tab/>
      </w:r>
      <w:r>
        <w:rPr>
          <w:rFonts w:ascii="Arial" w:hAnsi="Arial" w:cs="Arial"/>
          <w:bCs/>
        </w:rPr>
        <w:tab/>
      </w:r>
      <w:r>
        <w:rPr>
          <w:rFonts w:ascii="Arial" w:hAnsi="Arial" w:cs="Arial"/>
          <w:bCs/>
        </w:rPr>
        <w:tab/>
      </w:r>
      <w:r w:rsidRPr="00B13CC2">
        <w:rPr>
          <w:rFonts w:ascii="Arial" w:hAnsi="Arial" w:cs="Arial"/>
          <w:bCs/>
        </w:rPr>
        <w:t xml:space="preserve"> </w:t>
      </w:r>
      <w:r w:rsidRPr="00B13CC2">
        <w:rPr>
          <w:rFonts w:ascii="Arial" w:hAnsi="Arial" w:cs="Arial"/>
          <w:b/>
          <w:bCs/>
        </w:rPr>
        <w:t>Resmi Gazete No</w:t>
      </w:r>
      <w:r w:rsidRPr="00B13CC2">
        <w:rPr>
          <w:rFonts w:ascii="Arial" w:hAnsi="Arial" w:cs="Arial"/>
          <w:b/>
          <w:bCs/>
        </w:rPr>
        <w:tab/>
        <w:t>:</w:t>
      </w:r>
      <w:r w:rsidRPr="00B13CC2">
        <w:rPr>
          <w:rFonts w:ascii="Arial" w:hAnsi="Arial" w:cs="Arial"/>
          <w:bCs/>
        </w:rPr>
        <w:t xml:space="preserve"> 31491</w:t>
      </w:r>
    </w:p>
    <w:p w:rsidR="00B13CC2" w:rsidRPr="00B13CC2" w:rsidRDefault="00B13CC2" w:rsidP="00B13CC2">
      <w:pPr>
        <w:jc w:val="center"/>
        <w:rPr>
          <w:rFonts w:ascii="Arial" w:hAnsi="Arial" w:cs="Arial"/>
          <w:b/>
          <w:bCs/>
        </w:rPr>
      </w:pPr>
      <w:bookmarkStart w:id="0" w:name="_GoBack"/>
      <w:bookmarkEnd w:id="0"/>
      <w:r w:rsidRPr="00B13CC2">
        <w:rPr>
          <w:rFonts w:ascii="Arial" w:hAnsi="Arial" w:cs="Arial"/>
          <w:b/>
          <w:bCs/>
        </w:rPr>
        <w:t>Kabul Tarihi   : 20.05.2021</w:t>
      </w:r>
      <w:r w:rsidRPr="00B13CC2">
        <w:rPr>
          <w:rFonts w:ascii="Arial" w:hAnsi="Arial" w:cs="Arial"/>
          <w:bCs/>
        </w:rPr>
        <w:t xml:space="preserve"> </w:t>
      </w:r>
      <w:r w:rsidRPr="00B13CC2">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bCs/>
        </w:rPr>
        <w:t>Resmi Gazete Tarihi</w:t>
      </w:r>
      <w:r w:rsidRPr="00B13CC2">
        <w:rPr>
          <w:rFonts w:ascii="Arial" w:hAnsi="Arial" w:cs="Arial"/>
          <w:b/>
          <w:bCs/>
        </w:rPr>
        <w:t>:</w:t>
      </w:r>
      <w:r w:rsidRPr="00B13CC2">
        <w:rPr>
          <w:rFonts w:ascii="Arial" w:hAnsi="Arial" w:cs="Arial"/>
          <w:bCs/>
        </w:rPr>
        <w:t xml:space="preserve"> 25/05/2021</w:t>
      </w:r>
    </w:p>
    <w:p w:rsidR="00B13CC2" w:rsidRPr="00B13CC2" w:rsidRDefault="00B13CC2" w:rsidP="00B13CC2">
      <w:pPr>
        <w:jc w:val="center"/>
        <w:rPr>
          <w:rFonts w:ascii="Arial" w:hAnsi="Arial" w:cs="Arial"/>
          <w:b/>
          <w:bCs/>
        </w:rPr>
      </w:pPr>
      <w:bookmarkStart w:id="1" w:name="_Toc72827184"/>
      <w:r w:rsidRPr="00B13CC2">
        <w:rPr>
          <w:rFonts w:ascii="Arial" w:hAnsi="Arial" w:cs="Arial"/>
          <w:b/>
          <w:bCs/>
        </w:rPr>
        <w:t>SİGORTACILIK İLE DİĞER BAZI ALANLARA İLİŞKİN KANUNLARDA VE BİR KANUN HÜKMÜNDE KARARNAMEDE DEĞİŞİKLİK YAPILMASINA DAİR KANUN</w:t>
      </w:r>
      <w:bookmarkEnd w:id="1"/>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1-</w:t>
      </w:r>
      <w:r w:rsidRPr="00B13CC2">
        <w:rPr>
          <w:rFonts w:ascii="Arial" w:hAnsi="Arial" w:cs="Arial"/>
          <w:sz w:val="20"/>
          <w:szCs w:val="20"/>
        </w:rPr>
        <w:t> 22/4/1983 tarihli ve 2820 sayılı Siyasi Partiler Kanununun 74 üncü maddesinin ikinci fıkrasında yer alan “yüz milyon lirayı aşan” ibaresi “</w:t>
      </w:r>
      <w:proofErr w:type="spellStart"/>
      <w:r w:rsidRPr="00B13CC2">
        <w:rPr>
          <w:rFonts w:ascii="Arial" w:hAnsi="Arial" w:cs="Arial"/>
          <w:sz w:val="20"/>
          <w:szCs w:val="20"/>
        </w:rPr>
        <w:t>binbeşyüz</w:t>
      </w:r>
      <w:proofErr w:type="spellEnd"/>
      <w:r w:rsidRPr="00B13CC2">
        <w:rPr>
          <w:rFonts w:ascii="Arial" w:hAnsi="Arial" w:cs="Arial"/>
          <w:sz w:val="20"/>
          <w:szCs w:val="20"/>
        </w:rPr>
        <w:t xml:space="preserve"> lirayı aşan” şeklinde değiştirilmiştir.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2-</w:t>
      </w:r>
      <w:r w:rsidRPr="00B13CC2">
        <w:rPr>
          <w:rFonts w:ascii="Arial" w:hAnsi="Arial" w:cs="Arial"/>
          <w:sz w:val="20"/>
          <w:szCs w:val="20"/>
        </w:rPr>
        <w:t xml:space="preserve"> 2820 sayılı Kanunun ek 6 </w:t>
      </w:r>
      <w:proofErr w:type="spellStart"/>
      <w:r w:rsidRPr="00B13CC2">
        <w:rPr>
          <w:rFonts w:ascii="Arial" w:hAnsi="Arial" w:cs="Arial"/>
          <w:sz w:val="20"/>
          <w:szCs w:val="20"/>
        </w:rPr>
        <w:t>ncı</w:t>
      </w:r>
      <w:proofErr w:type="spellEnd"/>
      <w:r w:rsidRPr="00B13CC2">
        <w:rPr>
          <w:rFonts w:ascii="Arial" w:hAnsi="Arial" w:cs="Arial"/>
          <w:sz w:val="20"/>
          <w:szCs w:val="20"/>
        </w:rPr>
        <w:t xml:space="preserve"> maddesinin birinci fıkrasında yer alan “ve 70 inci” ibaresi “, 70 ve 74 üncü” şeklinde değiştirilmiştir.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3-</w:t>
      </w:r>
      <w:r w:rsidRPr="00B13CC2">
        <w:rPr>
          <w:rFonts w:ascii="Arial" w:hAnsi="Arial" w:cs="Arial"/>
          <w:sz w:val="20"/>
          <w:szCs w:val="20"/>
        </w:rPr>
        <w:t> 9/12/1994 tarihli ve 4059 sayılı Finansal İstikrar ile Bazı Düzenlemeler Hakkında Kanunun 1 inci maddesinin başlığı “Finansal İstikrar Komitesi” şeklinde, birinci ve ikinci fıkraları aşağıdaki şekilde, üçüncü fıkrasının birinci cümlesi aşağıdaki şekilde değiştirilmiş, aynı fıkranın (a) bendine “risklerin” ibaresinden sonra gelmek üzere “ve kırılganlıkların” ibaresi eklenmiş, bentte yer alan “alınabilecek tedbirlerin” ibaresi “gerekli yöntemlerin oluşturulması ve politika önerilerinin” şeklinde, (b) bendi aşağıdaki şekilde, (c) bendinde yer alan “sektörün” ibaresi “sektörün, sürdürülebilir büyümeyi ve finansal istikrarı destekleyecek şekilde” şeklinde, dördüncü fıkrasının birinci cümlesinde yer alan “Finansal İstikrar ve Kalkınma Komitesi” ibaresi “Komite” şeklinde değiştirilmiş, aynı fıkraya aşağıdaki cümle eklenmiş ve beşinci fıkrasında yer alan “Finansal İstikrar ve Kalkınma Komitesi” ibaresi “Komite” şeklinde değiştirilmiştir.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“(1) Finansal sistemin sürdürülebilir ekonomik büyümeyi sağlıklı bir şekilde desteklemesi ve piyasalarda güvenin korunması için kırılganlıkların belirlenmesi ve sistemik risklerin yönetilmesinde ilgili kurumlar arasında iş birliği ve eş güdümün sağlanması amacıyla Finansal İstikrar Komitesi kurulmuştur.</w:t>
      </w:r>
    </w:p>
    <w:p w:rsidR="00B13CC2" w:rsidRPr="00B13CC2" w:rsidRDefault="00B13CC2" w:rsidP="00B13CC2">
      <w:pPr>
        <w:jc w:val="both"/>
        <w:rPr>
          <w:rFonts w:ascii="Arial" w:hAnsi="Arial" w:cs="Arial"/>
          <w:sz w:val="20"/>
          <w:szCs w:val="20"/>
        </w:rPr>
      </w:pPr>
      <w:r w:rsidRPr="00B13CC2">
        <w:rPr>
          <w:rFonts w:ascii="Arial" w:hAnsi="Arial" w:cs="Arial"/>
          <w:sz w:val="20"/>
          <w:szCs w:val="20"/>
        </w:rPr>
        <w:t>(2) Komite; Hazine ve Maliye Bakanının başkanlığında, Hazine ve Maliye Bakan Yardımcısı, Strateji ve Bütçe Başkanı, Türkiye Cumhuriyet Merkez Bankası Başkanı, Sermaye Piyasası Kurulu Başkanı, Bankacılık Düzenleme ve Denetleme Kurumu Başkanı, Sigortacılık ve Özel Emeklilik Düzenleme ve Denetleme Kurumu Başkanı ve Tasarruf Mevduatı Sigorta Fonu Başkanından oluşur. Komitenin çalışma usul ve esasları üyesi bulunan kurum ve kuruluşların görüşü alınarak Hazine ve Maliye Bakanlığı tarafından belirlenir. Komitenin sekretarya faaliyetleri Hazine ve Maliye Bakanlığı tarafından yürütülür.”</w:t>
      </w:r>
    </w:p>
    <w:p w:rsidR="00B13CC2" w:rsidRPr="00B13CC2" w:rsidRDefault="00B13CC2" w:rsidP="00B13CC2">
      <w:pPr>
        <w:jc w:val="both"/>
        <w:rPr>
          <w:rFonts w:ascii="Arial" w:hAnsi="Arial" w:cs="Arial"/>
          <w:sz w:val="20"/>
          <w:szCs w:val="20"/>
        </w:rPr>
      </w:pPr>
      <w:r w:rsidRPr="00B13CC2">
        <w:rPr>
          <w:rFonts w:ascii="Arial" w:hAnsi="Arial" w:cs="Arial"/>
          <w:sz w:val="20"/>
          <w:szCs w:val="20"/>
        </w:rPr>
        <w:t>“Komite aşağıda sayılan hususlarda Komitede temsil edilen kurum ve kuruluşlar arasında iş birliği ve eş güdümü tesis eder:”</w:t>
      </w:r>
    </w:p>
    <w:p w:rsidR="00B13CC2" w:rsidRPr="00B13CC2" w:rsidRDefault="00B13CC2" w:rsidP="00B13CC2">
      <w:pPr>
        <w:jc w:val="both"/>
        <w:rPr>
          <w:rFonts w:ascii="Arial" w:hAnsi="Arial" w:cs="Arial"/>
          <w:sz w:val="20"/>
          <w:szCs w:val="20"/>
        </w:rPr>
      </w:pPr>
      <w:r w:rsidRPr="00B13CC2">
        <w:rPr>
          <w:rFonts w:ascii="Arial" w:hAnsi="Arial" w:cs="Arial"/>
          <w:sz w:val="20"/>
          <w:szCs w:val="20"/>
        </w:rPr>
        <w:t>“b) Finansal düzenlemelerin etkilerinin değerlendirilmesi.”</w:t>
      </w:r>
    </w:p>
    <w:p w:rsidR="00B13CC2" w:rsidRPr="00B13CC2" w:rsidRDefault="00B13CC2" w:rsidP="00B13CC2">
      <w:pPr>
        <w:jc w:val="both"/>
        <w:rPr>
          <w:rFonts w:ascii="Arial" w:hAnsi="Arial" w:cs="Arial"/>
          <w:sz w:val="20"/>
          <w:szCs w:val="20"/>
        </w:rPr>
      </w:pPr>
      <w:r w:rsidRPr="00B13CC2">
        <w:rPr>
          <w:rFonts w:ascii="Arial" w:hAnsi="Arial" w:cs="Arial"/>
          <w:sz w:val="20"/>
          <w:szCs w:val="20"/>
        </w:rPr>
        <w:t>“Kamu kurum ve kuruluşları, talep edilen veri ve bilgiyi Komitenin belirleyeceği şekil ve süreler içerisinde vermekle yükümlüdür.”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4-</w:t>
      </w:r>
      <w:r w:rsidRPr="00B13CC2">
        <w:rPr>
          <w:rFonts w:ascii="Arial" w:hAnsi="Arial" w:cs="Arial"/>
          <w:sz w:val="20"/>
          <w:szCs w:val="20"/>
        </w:rPr>
        <w:t> 25/8/1999 tarihli ve 4447 sayılı İşsizlik Sigortası Kanununa aşağıdaki geçici madde eklenmiştir.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 xml:space="preserve">“GEÇİCİ MADDE 31- 5510 sayılı Kanun kapsamında tescil edilen ve Sosyal Güvenlik Kurumuna 2021 yılı Mart ayına/dönemine ilişkin bildirilen muhtasar ve prim hizmet beyannamelerindeki sigortalı sayısı 50’nin altında olan özel sektör işyeri işverenlerince 1/7/2021 ila 30/6/2022 tarihleri arasında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maddesinin birinci fıkrasının (b) bendi kapsamında </w:t>
      </w:r>
      <w:r w:rsidRPr="00B13CC2">
        <w:rPr>
          <w:rFonts w:ascii="Arial" w:hAnsi="Arial" w:cs="Arial"/>
          <w:sz w:val="20"/>
          <w:szCs w:val="20"/>
        </w:rPr>
        <w:lastRenderedPageBreak/>
        <w:t xml:space="preserve">sigortalı olmamaları, işe alındıkları yıldan bir önceki takvim yılında işe alındıkları işyerinden bildirilen aylık prim ve hizmet belgelerindeki veya muhtasar ve prim hizmet beyannamelerindeki sigortalı sayısının ortalamasına ilave olmaları ve 12 ay süreyle bu sigortalılar için primlerini yasal süresi içerisinde ödemeleri kaydıyla, bu sigortalılar için 5510 sayılı Kanunun 82 </w:t>
      </w:r>
      <w:proofErr w:type="spellStart"/>
      <w:r w:rsidRPr="00B13CC2">
        <w:rPr>
          <w:rFonts w:ascii="Arial" w:hAnsi="Arial" w:cs="Arial"/>
          <w:sz w:val="20"/>
          <w:szCs w:val="20"/>
        </w:rPr>
        <w:t>nci</w:t>
      </w:r>
      <w:proofErr w:type="spellEnd"/>
      <w:r w:rsidRPr="00B13CC2">
        <w:rPr>
          <w:rFonts w:ascii="Arial" w:hAnsi="Arial" w:cs="Arial"/>
          <w:sz w:val="20"/>
          <w:szCs w:val="20"/>
        </w:rPr>
        <w:t xml:space="preserve"> maddesi uyarınca belirlenen prime esas kazanç alt sınır üzerinden hesaplanan ve tamamı yasal süresi içinde ödenen sigorta primi ve işsizlik sigortası sigortalı ve işveren hissesi primlerinden bu Kanun veya diğer kanunlarla sağlanan prim teşvik, destek ya da indirimleri düşüldükten sonra kalan tutar, 28/3/2002 tarihli ve 4749 sayılı Kamu Finansmanı ve Borç Yönetiminin Düzenlenmesi Hakkında Kanunun geçici 20 </w:t>
      </w:r>
      <w:proofErr w:type="spellStart"/>
      <w:r w:rsidRPr="00B13CC2">
        <w:rPr>
          <w:rFonts w:ascii="Arial" w:hAnsi="Arial" w:cs="Arial"/>
          <w:sz w:val="20"/>
          <w:szCs w:val="20"/>
        </w:rPr>
        <w:t>nci</w:t>
      </w:r>
      <w:proofErr w:type="spellEnd"/>
      <w:r w:rsidRPr="00B13CC2">
        <w:rPr>
          <w:rFonts w:ascii="Arial" w:hAnsi="Arial" w:cs="Arial"/>
          <w:sz w:val="20"/>
          <w:szCs w:val="20"/>
        </w:rPr>
        <w:t xml:space="preserve"> maddesi kapsamında kefalet sağlanan ve kamunun doğrudan veya dolaylı olarak hâkim sermayedar olduğu bankalardan bu maddenin yürürlük tarihinden sonra 30/6/2022 tarihine kadar ilgili işverenlerce kullanılan kredilerde 12 aylık süreye ilişkin primlerin ödenmesini müteakip kredi faiz veya kar payı bakiyesinden düşülür. Bu madde kapsamında kredi garanti kurumlarınca kredi faiz veya kar payı bakiyesinden düşülen tutar Fondan karşılanır.</w:t>
      </w:r>
    </w:p>
    <w:p w:rsidR="00B13CC2" w:rsidRPr="00B13CC2" w:rsidRDefault="00B13CC2" w:rsidP="00B13CC2">
      <w:pPr>
        <w:jc w:val="both"/>
        <w:rPr>
          <w:rFonts w:ascii="Arial" w:hAnsi="Arial" w:cs="Arial"/>
          <w:sz w:val="20"/>
          <w:szCs w:val="20"/>
        </w:rPr>
      </w:pPr>
      <w:r w:rsidRPr="00B13CC2">
        <w:rPr>
          <w:rFonts w:ascii="Arial" w:hAnsi="Arial" w:cs="Arial"/>
          <w:sz w:val="20"/>
          <w:szCs w:val="20"/>
        </w:rPr>
        <w:t xml:space="preserve">2021 yılı Mart dönemi için geçici 24 üncü, geçici 27 </w:t>
      </w:r>
      <w:proofErr w:type="spellStart"/>
      <w:r w:rsidRPr="00B13CC2">
        <w:rPr>
          <w:rFonts w:ascii="Arial" w:hAnsi="Arial" w:cs="Arial"/>
          <w:sz w:val="20"/>
          <w:szCs w:val="20"/>
        </w:rPr>
        <w:t>nci</w:t>
      </w:r>
      <w:proofErr w:type="spellEnd"/>
      <w:r w:rsidRPr="00B13CC2">
        <w:rPr>
          <w:rFonts w:ascii="Arial" w:hAnsi="Arial" w:cs="Arial"/>
          <w:sz w:val="20"/>
          <w:szCs w:val="20"/>
        </w:rPr>
        <w:t xml:space="preserve"> maddenin birinci fıkrasının (b) bendi ve geçici 28 inci maddenin ikinci fıkrası kapsamında en az 20 gün nakdi ücret desteğinden yararlandırılan sigortalının haftalık normal çalışma süresine dönmesi durumunda, söz konusu sigortalı için birinci fıkradaki işe giriş ve ilave istihdam şartına bakılmaksızın işyeri birinci fıkrada belirtilen destekten üçüncü fıkrada belirtilen süre ve sigortalı sayısı kadar yararlandırılır.</w:t>
      </w:r>
    </w:p>
    <w:p w:rsidR="00B13CC2" w:rsidRPr="00B13CC2" w:rsidRDefault="00B13CC2" w:rsidP="00B13CC2">
      <w:pPr>
        <w:jc w:val="both"/>
        <w:rPr>
          <w:rFonts w:ascii="Arial" w:hAnsi="Arial" w:cs="Arial"/>
          <w:sz w:val="20"/>
          <w:szCs w:val="20"/>
        </w:rPr>
      </w:pPr>
      <w:r w:rsidRPr="00B13CC2">
        <w:rPr>
          <w:rFonts w:ascii="Arial" w:hAnsi="Arial" w:cs="Arial"/>
          <w:sz w:val="20"/>
          <w:szCs w:val="20"/>
        </w:rPr>
        <w:t>Bu maddeyle sağlanan kredi faiz veya kar payı desteği, destek kapsamına giren sigortalılar için 12 ay süreyle uygulanır. Bu madde kapsamına giren işyerleri ilave olarak işe aldığı en fazla beş sigortalı için bu destekten yararlanır.</w:t>
      </w:r>
    </w:p>
    <w:p w:rsidR="00B13CC2" w:rsidRPr="00B13CC2" w:rsidRDefault="00B13CC2" w:rsidP="00B13CC2">
      <w:pPr>
        <w:jc w:val="both"/>
        <w:rPr>
          <w:rFonts w:ascii="Arial" w:hAnsi="Arial" w:cs="Arial"/>
          <w:sz w:val="20"/>
          <w:szCs w:val="20"/>
        </w:rPr>
      </w:pPr>
      <w:r w:rsidRPr="00B13CC2">
        <w:rPr>
          <w:rFonts w:ascii="Arial" w:hAnsi="Arial" w:cs="Arial"/>
          <w:sz w:val="20"/>
          <w:szCs w:val="20"/>
        </w:rPr>
        <w:t>İşyeri ile ilgili muhtasar ve prim hizmet beyannamelerinin yasal süresi içerisinde verilmemesi, primlerin yasal süresinde ödenmemesi ve Sosyal Güvenlik Kurumuna prim, idari para cezası ve bunlara ilişkin gecikme cezası ve gecikme zammı borcu bulunması ya da mahkeme kararıyla veya yapılan kontrol ve denetimlerde çalıştırdığı kişileri sigortalı olarak bildirmediği veya bildirilen sigortalıyı fiilen çalıştırmadığının tespit edilmesi durumlarında bu maddede belirtilen destekten 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B13CC2" w:rsidRPr="00B13CC2" w:rsidRDefault="00B13CC2" w:rsidP="00B13CC2">
      <w:pPr>
        <w:jc w:val="both"/>
        <w:rPr>
          <w:rFonts w:ascii="Arial" w:hAnsi="Arial" w:cs="Arial"/>
          <w:sz w:val="20"/>
          <w:szCs w:val="20"/>
        </w:rPr>
      </w:pPr>
      <w:r w:rsidRPr="00B13CC2">
        <w:rPr>
          <w:rFonts w:ascii="Arial" w:hAnsi="Arial" w:cs="Arial"/>
          <w:sz w:val="20"/>
          <w:szCs w:val="20"/>
        </w:rPr>
        <w:t>Bu maddede belirtilen şartların sağlanması kaydıyla üçüncü fıkrada belirtilen yararlanma süresini aşmamak üzere, destekten yararlanılmış olan sigortalının destek süresini tamamlamadan işten ayrılıp yeniden işe başlaması halinde, söz konusu sigortalıdan dolayı yeniden işe başladığı tarihteki durumu dikkate alınarak bu destekten kalan süre kadar yararlanmaya devam edilir.</w:t>
      </w:r>
    </w:p>
    <w:p w:rsidR="00B13CC2" w:rsidRPr="00B13CC2" w:rsidRDefault="00B13CC2" w:rsidP="00B13CC2">
      <w:pPr>
        <w:jc w:val="both"/>
        <w:rPr>
          <w:rFonts w:ascii="Arial" w:hAnsi="Arial" w:cs="Arial"/>
          <w:sz w:val="20"/>
          <w:szCs w:val="20"/>
        </w:rPr>
      </w:pPr>
      <w:r w:rsidRPr="00B13CC2">
        <w:rPr>
          <w:rFonts w:ascii="Arial" w:hAnsi="Arial" w:cs="Arial"/>
          <w:sz w:val="20"/>
          <w:szCs w:val="20"/>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w:t>
      </w:r>
    </w:p>
    <w:p w:rsidR="00B13CC2" w:rsidRPr="00B13CC2" w:rsidRDefault="00B13CC2" w:rsidP="00B13CC2">
      <w:pPr>
        <w:jc w:val="both"/>
        <w:rPr>
          <w:rFonts w:ascii="Arial" w:hAnsi="Arial" w:cs="Arial"/>
          <w:sz w:val="20"/>
          <w:szCs w:val="20"/>
        </w:rPr>
      </w:pPr>
      <w:r w:rsidRPr="00B13CC2">
        <w:rPr>
          <w:rFonts w:ascii="Arial" w:hAnsi="Arial" w:cs="Arial"/>
          <w:sz w:val="20"/>
          <w:szCs w:val="20"/>
        </w:rPr>
        <w:t>1/7/2021 ila 30/6/2022 tarihleri arasında 5510 sayılı Kanun kapsamına alınan işyerleri ve daha önce tescil edildiği halde ortalama sigortalı sayısının hesaplandığı yılda sigortalı çalıştırılmaması nedeniyle muhtasar ve prim hizmet beyannamesi vermeyen işyerleri de, bu maddede belirtilen şartlar sağlanmak kaydıyla, maddenin yürürlük tarihinden sonra ilk defa sigortalı bildiriminde bulunulan ayı takip eden üçüncü aya ilişkin muhtasar ve prim hizmet beyannamesinden itibaren bu maddenin üçüncü fıkrasında belirtilen süre kadar bu destekten yararlandırılır.</w:t>
      </w:r>
    </w:p>
    <w:p w:rsidR="00B13CC2" w:rsidRPr="00B13CC2" w:rsidRDefault="00B13CC2" w:rsidP="00B13CC2">
      <w:pPr>
        <w:jc w:val="both"/>
        <w:rPr>
          <w:rFonts w:ascii="Arial" w:hAnsi="Arial" w:cs="Arial"/>
          <w:sz w:val="20"/>
          <w:szCs w:val="20"/>
        </w:rPr>
      </w:pPr>
      <w:r w:rsidRPr="00B13CC2">
        <w:rPr>
          <w:rFonts w:ascii="Arial" w:hAnsi="Arial" w:cs="Arial"/>
          <w:sz w:val="20"/>
          <w:szCs w:val="20"/>
        </w:rPr>
        <w:lastRenderedPageBreak/>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destekten yararlanmak amacıyla muvazaalı işlem tesis ettiği anlaşılan işyerlerinden Fon tarafından karşılanan tutar gecikme cezası ve gecikme zammıyla birlikte geri alınır.</w:t>
      </w:r>
    </w:p>
    <w:p w:rsidR="00B13CC2" w:rsidRPr="00B13CC2" w:rsidRDefault="00B13CC2" w:rsidP="00B13CC2">
      <w:pPr>
        <w:jc w:val="both"/>
        <w:rPr>
          <w:rFonts w:ascii="Arial" w:hAnsi="Arial" w:cs="Arial"/>
          <w:sz w:val="20"/>
          <w:szCs w:val="20"/>
        </w:rPr>
      </w:pPr>
      <w:r w:rsidRPr="00B13CC2">
        <w:rPr>
          <w:rFonts w:ascii="Arial" w:hAnsi="Arial" w:cs="Arial"/>
          <w:sz w:val="20"/>
          <w:szCs w:val="20"/>
        </w:rPr>
        <w:t>Bu madde kapsamında Fon tarafından işverene sağlanan, sigortalı hissesine karşılık gelen destek tutarının sigortalıya ödenmesi işverenden talep edilemez.</w:t>
      </w:r>
    </w:p>
    <w:p w:rsidR="00B13CC2" w:rsidRPr="00B13CC2" w:rsidRDefault="00B13CC2" w:rsidP="00B13CC2">
      <w:pPr>
        <w:jc w:val="both"/>
        <w:rPr>
          <w:rFonts w:ascii="Arial" w:hAnsi="Arial" w:cs="Arial"/>
          <w:sz w:val="20"/>
          <w:szCs w:val="20"/>
        </w:rPr>
      </w:pPr>
      <w:r w:rsidRPr="00B13CC2">
        <w:rPr>
          <w:rFonts w:ascii="Arial" w:hAnsi="Arial" w:cs="Arial"/>
          <w:sz w:val="20"/>
          <w:szCs w:val="20"/>
        </w:rPr>
        <w:t>Bu madde kapsamında destekten yersiz yararlanıldığının tespiti halinde, yararlanılan destek tutarı işverenden 5510 sayılı Kanunun 89 uncu maddesinin ikinci fıkrası uyarınca gecikme cezası ve gecikme zammı ile birlikte tahsil edilir.</w:t>
      </w:r>
    </w:p>
    <w:p w:rsidR="00B13CC2" w:rsidRPr="00B13CC2" w:rsidRDefault="00B13CC2" w:rsidP="00B13CC2">
      <w:pPr>
        <w:jc w:val="both"/>
        <w:rPr>
          <w:rFonts w:ascii="Arial" w:hAnsi="Arial" w:cs="Arial"/>
          <w:sz w:val="20"/>
          <w:szCs w:val="20"/>
        </w:rPr>
      </w:pPr>
      <w:r w:rsidRPr="00B13CC2">
        <w:rPr>
          <w:rFonts w:ascii="Arial" w:hAnsi="Arial" w:cs="Arial"/>
          <w:sz w:val="20"/>
          <w:szCs w:val="20"/>
        </w:rPr>
        <w:t>Fondan bu madde kapsamında karşılanan tutarlar, gelir ve kurumlar vergisi uygulamalarında gelir, gider veya maliyet unsuru olarak dikkate alınmaz.</w:t>
      </w:r>
    </w:p>
    <w:p w:rsidR="00B13CC2" w:rsidRPr="00B13CC2" w:rsidRDefault="00B13CC2" w:rsidP="00B13CC2">
      <w:pPr>
        <w:jc w:val="both"/>
        <w:rPr>
          <w:rFonts w:ascii="Arial" w:hAnsi="Arial" w:cs="Arial"/>
          <w:sz w:val="20"/>
          <w:szCs w:val="20"/>
        </w:rPr>
      </w:pPr>
      <w:r w:rsidRPr="00B13CC2">
        <w:rPr>
          <w:rFonts w:ascii="Arial" w:hAnsi="Arial" w:cs="Arial"/>
          <w:sz w:val="20"/>
          <w:szCs w:val="20"/>
        </w:rPr>
        <w:t>Bu madde kapsamında Fondan kaynak aktarılacak kredi garanti kurumları Hazine ve Maliye Bakanlığınca, bu maddenin uygulanmasına ilişkin usul ve esaslar Hazine ve Maliye Bakanlığının uygun görüşü alınarak Çalışma ve Sosyal Güvenlik Bakanlığınca belirlenir.”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5-</w:t>
      </w:r>
      <w:r w:rsidRPr="00B13CC2">
        <w:rPr>
          <w:rFonts w:ascii="Arial" w:hAnsi="Arial" w:cs="Arial"/>
          <w:sz w:val="20"/>
          <w:szCs w:val="20"/>
        </w:rPr>
        <w:t> 28/3/2001 tarihli ve 4632 sayılı Bireysel Emeklilik Tasarruf ve Yatırım Sistemi Kanununun 4 üncü maddesinin birinci fıkrasının birinci cümlesi yürürlükten kaldırılmıştır.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6- </w:t>
      </w:r>
      <w:r w:rsidRPr="00B13CC2">
        <w:rPr>
          <w:rFonts w:ascii="Arial" w:hAnsi="Arial" w:cs="Arial"/>
          <w:sz w:val="20"/>
          <w:szCs w:val="20"/>
        </w:rPr>
        <w:t>4632 sayılı Kanuna aşağıdaki geçici madde eklenmiştir.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 xml:space="preserve">“GEÇİCİ MADDE 4- Yetkili organlarınca karar alınması kaydıyla, üyelerine veya çalışanlarına emekliliğe yönelik taahhütte bulunan dernek, vakıf, 506 sayılı Sosyal Sigortalar Kanununun geçici 20 </w:t>
      </w:r>
      <w:proofErr w:type="spellStart"/>
      <w:r w:rsidRPr="00B13CC2">
        <w:rPr>
          <w:rFonts w:ascii="Arial" w:hAnsi="Arial" w:cs="Arial"/>
          <w:sz w:val="20"/>
          <w:szCs w:val="20"/>
        </w:rPr>
        <w:t>nci</w:t>
      </w:r>
      <w:proofErr w:type="spellEnd"/>
      <w:r w:rsidRPr="00B13CC2">
        <w:rPr>
          <w:rFonts w:ascii="Arial" w:hAnsi="Arial" w:cs="Arial"/>
          <w:sz w:val="20"/>
          <w:szCs w:val="20"/>
        </w:rPr>
        <w:t xml:space="preserve"> maddesi kapsamındakiler hariç olmak üzere sandık, tüzel kişiliği haiz meslek kuruluşu veya sair ticaret şirketleri nezdinde 1/1/2021 tarihi itibarıyla mevcut bulunan emeklilik taahhüt planları kapsamındaki yurt içi ya da yurt dışındaki birikimler ve taahhütlere ilişkin tutarlar (plan esaslarına göre aktarım tarihine kadar mutat yapılan ödemeler nedeniyle oluşanlar dahil), 31/12/2023 tarihine kadar kısmen veya tamamen bireysel emeklilik sistemine aktarılabilir.</w:t>
      </w:r>
    </w:p>
    <w:p w:rsidR="00B13CC2" w:rsidRPr="00B13CC2" w:rsidRDefault="00B13CC2" w:rsidP="00B13CC2">
      <w:pPr>
        <w:jc w:val="both"/>
        <w:rPr>
          <w:rFonts w:ascii="Arial" w:hAnsi="Arial" w:cs="Arial"/>
          <w:sz w:val="20"/>
          <w:szCs w:val="20"/>
        </w:rPr>
      </w:pPr>
      <w:r w:rsidRPr="00B13CC2">
        <w:rPr>
          <w:rFonts w:ascii="Arial" w:hAnsi="Arial" w:cs="Arial"/>
          <w:sz w:val="20"/>
          <w:szCs w:val="20"/>
        </w:rPr>
        <w:t>Emeklilik taahhüt planlarındaki belirlenmiş fayda esaslı olmayan birikim ve taahhütlerin aktarımında birinci fıkrada belirtilen yetkili organ kararı aranmayabilir.</w:t>
      </w:r>
    </w:p>
    <w:p w:rsidR="00B13CC2" w:rsidRPr="00B13CC2" w:rsidRDefault="00B13CC2" w:rsidP="00B13CC2">
      <w:pPr>
        <w:jc w:val="both"/>
        <w:rPr>
          <w:rFonts w:ascii="Arial" w:hAnsi="Arial" w:cs="Arial"/>
          <w:sz w:val="20"/>
          <w:szCs w:val="20"/>
        </w:rPr>
      </w:pPr>
      <w:r w:rsidRPr="00B13CC2">
        <w:rPr>
          <w:rFonts w:ascii="Arial" w:hAnsi="Arial" w:cs="Arial"/>
          <w:sz w:val="20"/>
          <w:szCs w:val="20"/>
        </w:rPr>
        <w:t>Birinci fıkra kapsamında bireysel emeklilik sistemine aktarılan tutarlar gelir vergisinden müstesnadır. Bu kapsamda aktarım yapan üyeler aktarım tarihinden itibaren üç yıl içinde malûliyet ve ölüm haricindeki bir nedenle sistemden ayrılamaz. Aktarım yapan üyelerin sistemde kazanacakları süreye ve üyelerden sosyal güvenlik sistemi ve tabi olduğu vakıf senedi kapsamında emeklilik hakkı kazanmış olanların aktarım sonrası sistemde emeklilik hakkı kazanacağı yaşa ilişkin esas ve usuller Sigortacılık ve Özel Emeklilik Düzenleme ve Denetleme Kurumunca belirlenir.</w:t>
      </w:r>
    </w:p>
    <w:p w:rsidR="00B13CC2" w:rsidRPr="00B13CC2" w:rsidRDefault="00B13CC2" w:rsidP="00B13CC2">
      <w:pPr>
        <w:jc w:val="both"/>
        <w:rPr>
          <w:rFonts w:ascii="Arial" w:hAnsi="Arial" w:cs="Arial"/>
          <w:sz w:val="20"/>
          <w:szCs w:val="20"/>
        </w:rPr>
      </w:pPr>
      <w:r w:rsidRPr="00B13CC2">
        <w:rPr>
          <w:rFonts w:ascii="Arial" w:hAnsi="Arial" w:cs="Arial"/>
          <w:sz w:val="20"/>
          <w:szCs w:val="20"/>
        </w:rPr>
        <w:t>Bireysel emeklilik sistemine aktarılan tutarlar, gelir ve kurumlar vergisi mükelleflerince daha önce gider kaydedilmemişse, aktarıldığı yılın ticari kazancının tespitinde dikkate alınır.</w:t>
      </w:r>
    </w:p>
    <w:p w:rsidR="00B13CC2" w:rsidRPr="00B13CC2" w:rsidRDefault="00B13CC2" w:rsidP="00B13CC2">
      <w:pPr>
        <w:jc w:val="both"/>
        <w:rPr>
          <w:rFonts w:ascii="Arial" w:hAnsi="Arial" w:cs="Arial"/>
          <w:sz w:val="20"/>
          <w:szCs w:val="20"/>
        </w:rPr>
      </w:pPr>
      <w:r w:rsidRPr="00B13CC2">
        <w:rPr>
          <w:rFonts w:ascii="Arial" w:hAnsi="Arial" w:cs="Arial"/>
          <w:sz w:val="20"/>
          <w:szCs w:val="20"/>
        </w:rPr>
        <w:t>Birinci fıkrada belirtilen aktarımın yapılması amacıyla gerçekleştirilen taşınmaz veya iştirak hissesi satışından doğacak kazancın, bu kapsamda aktarılan kısma isabet eden tutarı kurumlar vergisinden müstesnadır.</w:t>
      </w:r>
    </w:p>
    <w:p w:rsidR="00B13CC2" w:rsidRPr="00B13CC2" w:rsidRDefault="00B13CC2" w:rsidP="00B13CC2">
      <w:pPr>
        <w:jc w:val="both"/>
        <w:rPr>
          <w:rFonts w:ascii="Arial" w:hAnsi="Arial" w:cs="Arial"/>
          <w:sz w:val="20"/>
          <w:szCs w:val="20"/>
        </w:rPr>
      </w:pPr>
      <w:r w:rsidRPr="00B13CC2">
        <w:rPr>
          <w:rFonts w:ascii="Arial" w:hAnsi="Arial" w:cs="Arial"/>
          <w:sz w:val="20"/>
          <w:szCs w:val="20"/>
        </w:rPr>
        <w:t>Birinci fıkra kapsamında yapılan işlemler her türlü harçtan, düzenlenen kâğıtlar damga vergisinden, lehe alınan paralar banka ve sigorta muameleleri vergisinden müstesnadır. Şu kadar ki, bu istisna aktarılacak tutarla sınırlı olarak uygulanır.</w:t>
      </w:r>
    </w:p>
    <w:p w:rsidR="00B13CC2" w:rsidRPr="00B13CC2" w:rsidRDefault="00B13CC2" w:rsidP="00B13CC2">
      <w:pPr>
        <w:jc w:val="both"/>
        <w:rPr>
          <w:rFonts w:ascii="Arial" w:hAnsi="Arial" w:cs="Arial"/>
          <w:sz w:val="20"/>
          <w:szCs w:val="20"/>
        </w:rPr>
      </w:pPr>
      <w:r w:rsidRPr="00B13CC2">
        <w:rPr>
          <w:rFonts w:ascii="Arial" w:hAnsi="Arial" w:cs="Arial"/>
          <w:sz w:val="20"/>
          <w:szCs w:val="20"/>
        </w:rPr>
        <w:t>Bu madde kapsamında emeklilik sözleşmesi akdetmiş olan katılımcılardan, aktarıma ilişkin olarak giriş aidatı dahil herhangi bir kesinti yapılmaz.</w:t>
      </w:r>
    </w:p>
    <w:p w:rsidR="00B13CC2" w:rsidRPr="00B13CC2" w:rsidRDefault="00B13CC2" w:rsidP="00B13CC2">
      <w:pPr>
        <w:jc w:val="both"/>
        <w:rPr>
          <w:rFonts w:ascii="Arial" w:hAnsi="Arial" w:cs="Arial"/>
          <w:sz w:val="20"/>
          <w:szCs w:val="20"/>
        </w:rPr>
      </w:pPr>
      <w:r w:rsidRPr="00B13CC2">
        <w:rPr>
          <w:rFonts w:ascii="Arial" w:hAnsi="Arial" w:cs="Arial"/>
          <w:sz w:val="20"/>
          <w:szCs w:val="20"/>
        </w:rPr>
        <w:lastRenderedPageBreak/>
        <w:t>Bu kapsamda aktarılan tutarlar aktarım sonrasında 193 sayılı Kanunun bireysel emeklilik sistemine ilişkin hükümleri çerçevesinde vergilendirilir. Bu madde kapsamında yapılacak aktarıma ve bireysel emeklilik sisteminde hak kazanılacak süreye ilişkin usul ve esasları belirlemeye Sigortacılık ve Özel Emeklilik Düzenleme ve Denetleme Kurumu yetkilidir.”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7- </w:t>
      </w:r>
      <w:r w:rsidRPr="00B13CC2">
        <w:rPr>
          <w:rFonts w:ascii="Arial" w:hAnsi="Arial" w:cs="Arial"/>
          <w:sz w:val="20"/>
          <w:szCs w:val="20"/>
        </w:rPr>
        <w:t>29/6/2001 tarihli ve 4706 sayılı Hazineye Ait Taşınmaz Malların Değerlendirilmesi ve Katma Değer Vergisi Kanununda Değişiklik Yapılması Hakkında Kanuna aşağıdaki geçici madde eklenmiştir.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 xml:space="preserve">“GEÇİCİ MADDE 28- 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1/1/2021 tarihi ile 31/12/2021 tarihi arasındaki dönemde geçici 25 inci ve 26 </w:t>
      </w:r>
      <w:proofErr w:type="spellStart"/>
      <w:r w:rsidRPr="00B13CC2">
        <w:rPr>
          <w:rFonts w:ascii="Arial" w:hAnsi="Arial" w:cs="Arial"/>
          <w:sz w:val="20"/>
          <w:szCs w:val="20"/>
        </w:rPr>
        <w:t>ncı</w:t>
      </w:r>
      <w:proofErr w:type="spellEnd"/>
      <w:r w:rsidRPr="00B13CC2">
        <w:rPr>
          <w:rFonts w:ascii="Arial" w:hAnsi="Arial" w:cs="Arial"/>
          <w:sz w:val="20"/>
          <w:szCs w:val="20"/>
        </w:rPr>
        <w:t xml:space="preserve"> maddeler kapsamında ertelenen bedeller hariç olmak üzere tahsil edilmesi gereken kira, kesin izin, kesin tahsis, irtifak hakkı, kullanma izni bedelleri, yararlanma bedelleri, ilave yararlanma bedelleri ve hasılat payları ile Kültür ve Turizm Bakanlığından belgeli turizm tesislerinin yatırımcıları ve işletmecilerinden bu faaliyetleri dolayısıyla Hazine taşınmazlarını izinsiz kullanımlarından dolayı aynı dönemde tahsil edilmesi gereken </w:t>
      </w:r>
      <w:proofErr w:type="spellStart"/>
      <w:r w:rsidRPr="00B13CC2">
        <w:rPr>
          <w:rFonts w:ascii="Arial" w:hAnsi="Arial" w:cs="Arial"/>
          <w:sz w:val="20"/>
          <w:szCs w:val="20"/>
        </w:rPr>
        <w:t>ecrimisillerin</w:t>
      </w:r>
      <w:proofErr w:type="spellEnd"/>
      <w:r w:rsidRPr="00B13CC2">
        <w:rPr>
          <w:rFonts w:ascii="Arial" w:hAnsi="Arial" w:cs="Arial"/>
          <w:sz w:val="20"/>
          <w:szCs w:val="20"/>
        </w:rPr>
        <w:t xml:space="preserve"> ödeme süreleri, başvuru şartı aranmaksızın 30/11/2022 tarihine kadar ertelenir ve bu alacaklar ertelenen tarihe kadar herhangi bir zam veya faiz uygulanmadan tahsil edilir. Bu döneme ilişkin tahsil edilen bedeller iade edilmez.</w:t>
      </w:r>
    </w:p>
    <w:p w:rsidR="00B13CC2" w:rsidRPr="00B13CC2" w:rsidRDefault="00B13CC2" w:rsidP="00B13CC2">
      <w:pPr>
        <w:jc w:val="both"/>
        <w:rPr>
          <w:rFonts w:ascii="Arial" w:hAnsi="Arial" w:cs="Arial"/>
          <w:sz w:val="20"/>
          <w:szCs w:val="20"/>
        </w:rPr>
      </w:pPr>
      <w:r w:rsidRPr="00B13CC2">
        <w:rPr>
          <w:rFonts w:ascii="Arial" w:hAnsi="Arial" w:cs="Arial"/>
          <w:sz w:val="20"/>
          <w:szCs w:val="20"/>
        </w:rPr>
        <w:t>Bu maddenin uygulanmasına ilişkin usul ve esasları belirlemeye Çevre ve Şehircilik Bakanlığı yetkilidir.”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8- </w:t>
      </w:r>
      <w:r w:rsidRPr="00B13CC2">
        <w:rPr>
          <w:rFonts w:ascii="Arial" w:hAnsi="Arial" w:cs="Arial"/>
          <w:sz w:val="20"/>
          <w:szCs w:val="20"/>
        </w:rPr>
        <w:t>10/12/2003 tarihli ve 5018 sayılı Kamu Malî Yönetimi ve Kontrol Kanununun;</w:t>
      </w:r>
    </w:p>
    <w:p w:rsidR="00B13CC2" w:rsidRPr="00B13CC2" w:rsidRDefault="00B13CC2" w:rsidP="00B13CC2">
      <w:pPr>
        <w:jc w:val="both"/>
        <w:rPr>
          <w:rFonts w:ascii="Arial" w:hAnsi="Arial" w:cs="Arial"/>
          <w:sz w:val="20"/>
          <w:szCs w:val="20"/>
        </w:rPr>
      </w:pPr>
      <w:r w:rsidRPr="00B13CC2">
        <w:rPr>
          <w:rFonts w:ascii="Arial" w:hAnsi="Arial" w:cs="Arial"/>
          <w:sz w:val="20"/>
          <w:szCs w:val="20"/>
        </w:rPr>
        <w:t>a) 9 uncu maddesinin beşinci fıkrasında yer alan “orta vadeli mali plan,” ibaresi madde metninden çıkarılmıştır.</w:t>
      </w:r>
    </w:p>
    <w:p w:rsidR="00B13CC2" w:rsidRPr="00B13CC2" w:rsidRDefault="00B13CC2" w:rsidP="00B13CC2">
      <w:pPr>
        <w:jc w:val="both"/>
        <w:rPr>
          <w:rFonts w:ascii="Arial" w:hAnsi="Arial" w:cs="Arial"/>
          <w:sz w:val="20"/>
          <w:szCs w:val="20"/>
        </w:rPr>
      </w:pPr>
      <w:r w:rsidRPr="00B13CC2">
        <w:rPr>
          <w:rFonts w:ascii="Arial" w:hAnsi="Arial" w:cs="Arial"/>
          <w:sz w:val="20"/>
          <w:szCs w:val="20"/>
        </w:rPr>
        <w:t>b) 14 üncü maddesinin birinci fıkrasında yer alan “ve malî plan” ibaresi madde metninden çıkarılmıştır.</w:t>
      </w:r>
    </w:p>
    <w:p w:rsidR="00B13CC2" w:rsidRPr="00B13CC2" w:rsidRDefault="00B13CC2" w:rsidP="00B13CC2">
      <w:pPr>
        <w:jc w:val="both"/>
        <w:rPr>
          <w:rFonts w:ascii="Arial" w:hAnsi="Arial" w:cs="Arial"/>
          <w:sz w:val="20"/>
          <w:szCs w:val="20"/>
        </w:rPr>
      </w:pPr>
      <w:r w:rsidRPr="00B13CC2">
        <w:rPr>
          <w:rFonts w:ascii="Arial" w:hAnsi="Arial" w:cs="Arial"/>
          <w:sz w:val="20"/>
          <w:szCs w:val="20"/>
        </w:rPr>
        <w:t xml:space="preserve">c) 16 </w:t>
      </w:r>
      <w:proofErr w:type="spellStart"/>
      <w:r w:rsidRPr="00B13CC2">
        <w:rPr>
          <w:rFonts w:ascii="Arial" w:hAnsi="Arial" w:cs="Arial"/>
          <w:sz w:val="20"/>
          <w:szCs w:val="20"/>
        </w:rPr>
        <w:t>ncı</w:t>
      </w:r>
      <w:proofErr w:type="spellEnd"/>
      <w:r w:rsidRPr="00B13CC2">
        <w:rPr>
          <w:rFonts w:ascii="Arial" w:hAnsi="Arial" w:cs="Arial"/>
          <w:sz w:val="20"/>
          <w:szCs w:val="20"/>
        </w:rPr>
        <w:t xml:space="preserve"> maddesinin başlığında yer alan “, malî plan” ibaresi başlık metninden çıkarılmış, ikinci fıkrasında yer alan “de kapsayacak şekilde onaylanan” ibaresi “, gelecek üç yıla ilişkin toplam gelir ve gider tahminlerini, bütçe dengesi ve borçlanma durumu ile kamu idarelerinin ödenek teklif tavanlarını içeren” şeklinde değiştirilmiş ve üçüncü fıkrası yürürlükten kaldırılmıştır.</w:t>
      </w:r>
    </w:p>
    <w:p w:rsidR="00B13CC2" w:rsidRPr="00B13CC2" w:rsidRDefault="00B13CC2" w:rsidP="00B13CC2">
      <w:pPr>
        <w:jc w:val="both"/>
        <w:rPr>
          <w:rFonts w:ascii="Arial" w:hAnsi="Arial" w:cs="Arial"/>
          <w:sz w:val="20"/>
          <w:szCs w:val="20"/>
        </w:rPr>
      </w:pPr>
      <w:r w:rsidRPr="00B13CC2">
        <w:rPr>
          <w:rFonts w:ascii="Arial" w:hAnsi="Arial" w:cs="Arial"/>
          <w:sz w:val="20"/>
          <w:szCs w:val="20"/>
        </w:rPr>
        <w:t xml:space="preserve">ç) 17 </w:t>
      </w:r>
      <w:proofErr w:type="spellStart"/>
      <w:r w:rsidRPr="00B13CC2">
        <w:rPr>
          <w:rFonts w:ascii="Arial" w:hAnsi="Arial" w:cs="Arial"/>
          <w:sz w:val="20"/>
          <w:szCs w:val="20"/>
        </w:rPr>
        <w:t>nci</w:t>
      </w:r>
      <w:proofErr w:type="spellEnd"/>
      <w:r w:rsidRPr="00B13CC2">
        <w:rPr>
          <w:rFonts w:ascii="Arial" w:hAnsi="Arial" w:cs="Arial"/>
          <w:sz w:val="20"/>
          <w:szCs w:val="20"/>
        </w:rPr>
        <w:t xml:space="preserve"> maddesinin birinci fıkrasının (a) bendinde yer alan “program ve malî planda” ibaresi “programda” şeklinde değiştirilmiştir.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d) 18 inci maddesinin ikinci fıkrasının (a) bendinde yer alan “Orta vadeli malî planı” ibaresi “Orta vadeli programı” şeklinde değiştirilmiştir.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9-</w:t>
      </w:r>
      <w:r w:rsidRPr="00B13CC2">
        <w:rPr>
          <w:rFonts w:ascii="Arial" w:hAnsi="Arial" w:cs="Arial"/>
          <w:sz w:val="20"/>
          <w:szCs w:val="20"/>
        </w:rPr>
        <w:t> 5018 sayılı Kanuna aşağıdaki ek madde eklenmiştir.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“EK MADDE 8- Mevzuatta orta vadeli mali plana yapılan atıflar orta vadeli programa yapılmış sayılır.”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10-</w:t>
      </w:r>
      <w:r w:rsidRPr="00B13CC2">
        <w:rPr>
          <w:rFonts w:ascii="Arial" w:hAnsi="Arial" w:cs="Arial"/>
          <w:sz w:val="20"/>
          <w:szCs w:val="20"/>
        </w:rPr>
        <w:t> 5018 sayılı Kanuna ekli (I) sayılı Cetvelin 9 uncu sırası aşağıdaki şekilde değiştirilmiş, Cetvele 9 uncu sıradan sonra gelmek üzere aşağıdaki 10 uncu sıra eklenmiş ve mevcut sıra numaraları buna göre teselsül ettirilmiştir.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“9) Aile ve Sosyal Hizmetler Bakanlığı”</w:t>
      </w:r>
    </w:p>
    <w:p w:rsidR="00B13CC2" w:rsidRPr="00B13CC2" w:rsidRDefault="00B13CC2" w:rsidP="00B13CC2">
      <w:pPr>
        <w:jc w:val="both"/>
        <w:rPr>
          <w:rFonts w:ascii="Arial" w:hAnsi="Arial" w:cs="Arial"/>
          <w:sz w:val="20"/>
          <w:szCs w:val="20"/>
        </w:rPr>
      </w:pPr>
      <w:r w:rsidRPr="00B13CC2">
        <w:rPr>
          <w:rFonts w:ascii="Arial" w:hAnsi="Arial" w:cs="Arial"/>
          <w:sz w:val="20"/>
          <w:szCs w:val="20"/>
        </w:rPr>
        <w:t>“10) Çalışma ve Sosyal Güvenlik Bakanlığı”</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11-</w:t>
      </w:r>
      <w:r w:rsidRPr="00B13CC2">
        <w:rPr>
          <w:rFonts w:ascii="Arial" w:hAnsi="Arial" w:cs="Arial"/>
          <w:sz w:val="20"/>
          <w:szCs w:val="20"/>
        </w:rPr>
        <w:t> 19/10/2005 tarihli ve 5411 sayılı Bankacılık Kanununun 99 uncu maddesi yürürlükten kaldırılmıştır.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lastRenderedPageBreak/>
        <w:t>MADDE 12- </w:t>
      </w:r>
      <w:r w:rsidRPr="00B13CC2">
        <w:rPr>
          <w:rFonts w:ascii="Arial" w:hAnsi="Arial" w:cs="Arial"/>
          <w:sz w:val="20"/>
          <w:szCs w:val="20"/>
        </w:rPr>
        <w:t>3/6/2007 tarihli ve 5684 sayılı Sigortacılık Kanununun 33/A maddesi başlığı ile birlikte aşağıdaki şekilde değiştirilmiştir.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“Özel Riskler Yönetim Merkezi ve olağanüstü durumlarda teminat</w:t>
      </w:r>
    </w:p>
    <w:p w:rsidR="00B13CC2" w:rsidRPr="00B13CC2" w:rsidRDefault="00B13CC2" w:rsidP="00B13CC2">
      <w:pPr>
        <w:jc w:val="both"/>
        <w:rPr>
          <w:rFonts w:ascii="Arial" w:hAnsi="Arial" w:cs="Arial"/>
          <w:sz w:val="20"/>
          <w:szCs w:val="20"/>
        </w:rPr>
      </w:pPr>
      <w:r w:rsidRPr="00B13CC2">
        <w:rPr>
          <w:rFonts w:ascii="Arial" w:hAnsi="Arial" w:cs="Arial"/>
          <w:sz w:val="20"/>
          <w:szCs w:val="20"/>
        </w:rPr>
        <w:t>MADDE 33/A- (1) Yurt içinden veya uluslararası piyasalardan sigorta veya reasürans teminatı bulunamayan ya da teminat sağlanmasında güçlük bulunan riskler, nükleer riskler gibi özellik arz eden riskler ile sigorta edilmesinde kamu yararı bulunan riskler için teminat sağlama, sigorta veya reasürans havuzları kurma veya kurulmasını koordine etme, sigorta ve reasürans şirketleri arasında işbirliği yapılmasını sağlama, oluşturulacak havuz, organizasyon veya işbirliği mekanizmalarının yürütülebilmesi amacıyla tüzel kişiliği haiz Özel Riskler Yönetim Merkezi kurulmuştur.</w:t>
      </w:r>
    </w:p>
    <w:p w:rsidR="00B13CC2" w:rsidRPr="00B13CC2" w:rsidRDefault="00B13CC2" w:rsidP="00B13CC2">
      <w:pPr>
        <w:jc w:val="both"/>
        <w:rPr>
          <w:rFonts w:ascii="Arial" w:hAnsi="Arial" w:cs="Arial"/>
          <w:sz w:val="20"/>
          <w:szCs w:val="20"/>
        </w:rPr>
      </w:pPr>
      <w:r w:rsidRPr="00B13CC2">
        <w:rPr>
          <w:rFonts w:ascii="Arial" w:hAnsi="Arial" w:cs="Arial"/>
          <w:sz w:val="20"/>
          <w:szCs w:val="20"/>
        </w:rPr>
        <w:t>(2) Hangi risklerin Özel Riskler Yönetim Merkezi kapsamında yönetileceği Sigortacılık ve Özel Emeklilik Düzenleme ve Denetleme Kurumunun önerisi üzerine Hazine ve Maliye Bakanlığı tarafından; kapsama alınan risklere ilişkin olarak Devlet tarafından prim veya reasürans desteği verilip verilmeyeceği, verilecek ise kapsamı, reasürans Devlet desteğinin bir bedel karşılığında temin edilip edilmeyeceği hususları Sigortacılık ve Özel Emeklilik Düzenleme ve Denetleme Kurumunun teklifi ve Hazine ve Maliye Bakanlığının uygun görüşü üzerine Cumhurbaşkanı kararı ile belirlenir.</w:t>
      </w:r>
    </w:p>
    <w:p w:rsidR="00B13CC2" w:rsidRPr="00B13CC2" w:rsidRDefault="00B13CC2" w:rsidP="00B13CC2">
      <w:pPr>
        <w:jc w:val="both"/>
        <w:rPr>
          <w:rFonts w:ascii="Arial" w:hAnsi="Arial" w:cs="Arial"/>
          <w:sz w:val="20"/>
          <w:szCs w:val="20"/>
        </w:rPr>
      </w:pPr>
      <w:r w:rsidRPr="00B13CC2">
        <w:rPr>
          <w:rFonts w:ascii="Arial" w:hAnsi="Arial" w:cs="Arial"/>
          <w:sz w:val="20"/>
          <w:szCs w:val="20"/>
        </w:rPr>
        <w:t>(3) Özel Riskler Yönetim Merkezinin işletilmesine ilişkin iş ve işlemler bir kamu sigorta veya reasürans şirketi tarafından yürütülür. Özel Riskler Yönetim Merkezi, bir sözleşme ile işleticisi şirketle çalışma usul ve esaslarını belirler.</w:t>
      </w:r>
    </w:p>
    <w:p w:rsidR="00B13CC2" w:rsidRPr="00B13CC2" w:rsidRDefault="00B13CC2" w:rsidP="00B13CC2">
      <w:pPr>
        <w:jc w:val="both"/>
        <w:rPr>
          <w:rFonts w:ascii="Arial" w:hAnsi="Arial" w:cs="Arial"/>
          <w:sz w:val="20"/>
          <w:szCs w:val="20"/>
        </w:rPr>
      </w:pPr>
      <w:r w:rsidRPr="00B13CC2">
        <w:rPr>
          <w:rFonts w:ascii="Arial" w:hAnsi="Arial" w:cs="Arial"/>
          <w:sz w:val="20"/>
          <w:szCs w:val="20"/>
        </w:rPr>
        <w:t>(4) Özel Riskler Yönetim Merkezinin merkezi İstanbul’dadır. Özel Riskler Yönetim Merkezi, bu Kanun kapsamındaki faaliyetleri bakımından 10/12/2003 tarihli ve 5018 sayılı Kamu Malî Yönetimi ve Kontrol Kanunu ile 4/1/2002 tarihli ve 4734 sayılı Kamu İhale Kanununa tâbi değildir.</w:t>
      </w:r>
    </w:p>
    <w:p w:rsidR="00B13CC2" w:rsidRPr="00B13CC2" w:rsidRDefault="00B13CC2" w:rsidP="00B13CC2">
      <w:pPr>
        <w:jc w:val="both"/>
        <w:rPr>
          <w:rFonts w:ascii="Arial" w:hAnsi="Arial" w:cs="Arial"/>
          <w:sz w:val="20"/>
          <w:szCs w:val="20"/>
        </w:rPr>
      </w:pPr>
      <w:r w:rsidRPr="00B13CC2">
        <w:rPr>
          <w:rFonts w:ascii="Arial" w:hAnsi="Arial" w:cs="Arial"/>
          <w:sz w:val="20"/>
          <w:szCs w:val="20"/>
        </w:rPr>
        <w:t>(5) Özel Riskler Yönetim Merkezi, Yönetim Kurulu tarafından yönetilir. Yönetim Kurulu, Hazine ve Maliye Bakanlığından en az daire başkanı düzeyinde bir üye, Sigortacılık ve Özel Emeklilik Düzenleme ve Denetleme Kurumundan en az daire başkanı düzeyinde bir üye, Türkiye Odalar ve Borsalar Birliği tarafından önerilecek bir üye, Sigortacılık ve Özel Emeklilik Düzenleme ve Denetleme Kurumunca belirlenen şartlara uygun olarak Birlik tarafından önerilecek üç aday arasından belirlenecek bir üye ile işletici şirketin temsilcisi bir üyeden oluşur. Hazine ve Maliye Bakanlığı temsilcisi Yönetim Kurulunun başkanıdır. Kurul üyelerine, bir ay içerisinde dörtten fazla olmamak üzere, her toplantı günü için (3000) gösterge rakamının Devlet memurlarına uygulanan aylık katsayı ile çarpımı sonucu bulunacak miktarda toplantı ücreti ödenir.</w:t>
      </w:r>
    </w:p>
    <w:p w:rsidR="00B13CC2" w:rsidRPr="00B13CC2" w:rsidRDefault="00B13CC2" w:rsidP="00B13CC2">
      <w:pPr>
        <w:jc w:val="both"/>
        <w:rPr>
          <w:rFonts w:ascii="Arial" w:hAnsi="Arial" w:cs="Arial"/>
          <w:sz w:val="20"/>
          <w:szCs w:val="20"/>
        </w:rPr>
      </w:pPr>
      <w:r w:rsidRPr="00B13CC2">
        <w:rPr>
          <w:rFonts w:ascii="Arial" w:hAnsi="Arial" w:cs="Arial"/>
          <w:sz w:val="20"/>
          <w:szCs w:val="20"/>
        </w:rPr>
        <w:t>(6) Özel Riskler Yönetim Merkezinin gelirleri; Özel Riskler Yönetim Merkezi kapsamındaki sigortalardan elde edilen primler, bunların getirilerinden ve sigorta ve reasürans işlemleri çerçevesinde elde edilebilecek diğer gelirler ile sair gelirlerden oluşur. Özel Riskler Yönetim Merkezinin giderleri; Özel Riskler Yönetim Merkezi kapsamındaki sigortalar için ödenecek tazminatlardan, reasürans ve benzeri piyasalardan sağlanacak korumaya ilişkin ödemelerden, tanıtım ve bilgilendirme için yapılan harcamalardan, hasar tespit işlemlerine ilişkin harcamalardan, işletici şirkete yapılacak ödemelerden ve Özel Riskler Yönetim Merkezi amaçları doğrultusunda yapılacak diğer ödemelerden oluşur.</w:t>
      </w:r>
    </w:p>
    <w:p w:rsidR="00B13CC2" w:rsidRPr="00B13CC2" w:rsidRDefault="00B13CC2" w:rsidP="00B13CC2">
      <w:pPr>
        <w:jc w:val="both"/>
        <w:rPr>
          <w:rFonts w:ascii="Arial" w:hAnsi="Arial" w:cs="Arial"/>
          <w:sz w:val="20"/>
          <w:szCs w:val="20"/>
        </w:rPr>
      </w:pPr>
      <w:r w:rsidRPr="00B13CC2">
        <w:rPr>
          <w:rFonts w:ascii="Arial" w:hAnsi="Arial" w:cs="Arial"/>
          <w:sz w:val="20"/>
          <w:szCs w:val="20"/>
        </w:rPr>
        <w:t>(7) Özel Riskler Yönetim Merkezi, gelir ve kurumlar vergisinden muaftır. Bu muafiyet, 31/12/1960 tarihli ve 193 sayılı Gelir Vergisi Kanunu ile 13/6/2006 tarihli ve 5520 sayılı Kurumlar Vergisi Kanunu uyarınca yapılacak vergi kesintilerini kapsamaz. Özel Riskler Yönetim Merkezi, kendisine yapılacak bağış ve yardımlar ile her türlü ivazsız intikaller yönünden veraset ve intikal vergisinden; taraf olduğu işlemlere ilişkin düzenlenen kağıtlar yönünden damga vergisinden muaftır.</w:t>
      </w:r>
    </w:p>
    <w:p w:rsidR="00B13CC2" w:rsidRPr="00B13CC2" w:rsidRDefault="00B13CC2" w:rsidP="00B13CC2">
      <w:pPr>
        <w:jc w:val="both"/>
        <w:rPr>
          <w:rFonts w:ascii="Arial" w:hAnsi="Arial" w:cs="Arial"/>
          <w:sz w:val="20"/>
          <w:szCs w:val="20"/>
        </w:rPr>
      </w:pPr>
      <w:r w:rsidRPr="00B13CC2">
        <w:rPr>
          <w:rFonts w:ascii="Arial" w:hAnsi="Arial" w:cs="Arial"/>
          <w:sz w:val="20"/>
          <w:szCs w:val="20"/>
        </w:rPr>
        <w:t>(8) Kamu yararı açısından gerek görülmesi hâlinde sigortacılık ilkeleri gözetilerek Cumhurbaşkanı kararı ile Özel Riskler Yönetim Merkezi, Doğal Afet Sigortaları Kurumuna ve Tarım Sigortaları Havuzuna reasürans teminatı verebilir veya bu kurumlardan reasürans desteği alabilir.</w:t>
      </w:r>
    </w:p>
    <w:p w:rsidR="00B13CC2" w:rsidRPr="00B13CC2" w:rsidRDefault="00B13CC2" w:rsidP="00B13CC2">
      <w:pPr>
        <w:jc w:val="both"/>
        <w:rPr>
          <w:rFonts w:ascii="Arial" w:hAnsi="Arial" w:cs="Arial"/>
          <w:sz w:val="20"/>
          <w:szCs w:val="20"/>
        </w:rPr>
      </w:pPr>
      <w:r w:rsidRPr="00B13CC2">
        <w:rPr>
          <w:rFonts w:ascii="Arial" w:hAnsi="Arial" w:cs="Arial"/>
          <w:sz w:val="20"/>
          <w:szCs w:val="20"/>
        </w:rPr>
        <w:lastRenderedPageBreak/>
        <w:t>(9) Özel Riskler Yönetim Merkezinin teşkilatı, çalışma usul ve esasları, varlıklarının yatırıma yönlendirilmesi, yetki ve sorumlulukları ile bu maddenin uygulanmasına ilişkin diğer usul ve esaslar Sigortacılık ve Özel Emeklilik Düzenleme ve Denetleme Kurumunca çıkarılacak yönetmelikle belirlenir.</w:t>
      </w:r>
    </w:p>
    <w:p w:rsidR="00B13CC2" w:rsidRPr="00B13CC2" w:rsidRDefault="00B13CC2" w:rsidP="00B13CC2">
      <w:pPr>
        <w:jc w:val="both"/>
        <w:rPr>
          <w:rFonts w:ascii="Arial" w:hAnsi="Arial" w:cs="Arial"/>
          <w:sz w:val="20"/>
          <w:szCs w:val="20"/>
        </w:rPr>
      </w:pPr>
      <w:r w:rsidRPr="00B13CC2">
        <w:rPr>
          <w:rFonts w:ascii="Arial" w:hAnsi="Arial" w:cs="Arial"/>
          <w:sz w:val="20"/>
          <w:szCs w:val="20"/>
        </w:rPr>
        <w:t>(10) Terör, savaş hâli, doğal afetler ve benzeri olağanüstü durumlarda, yurt içinden veya uluslararası piyasalardan sigorta veya reasürans teminatı sağlanamaması ya da sağlanmasında güçlük bulunması ve Cumhurbaşkanlığının gerekli görmesi hâlinde, sivil hava ve deniz ulaşım araçları için, Hazine ve Maliye Bakanlığınca sigorta veya reasürans teminatı sağlanmasına karar vermeye Hazine ve Maliye Bakanı yetkilidir. Verilecek teminatın kapsamı, süresi, türü, limitleri, karşılığında bir bedel alınıp alınmayacağı, bedel alınacak ise bedelin tutarı, alınacak bedelin nemalandırılması ve yönetimine ilişkin usul ve esaslar Hazine ve Maliye Bakanı tarafından belirlenir.”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13- </w:t>
      </w:r>
      <w:r w:rsidRPr="00B13CC2">
        <w:rPr>
          <w:rFonts w:ascii="Arial" w:hAnsi="Arial" w:cs="Arial"/>
          <w:sz w:val="20"/>
          <w:szCs w:val="20"/>
        </w:rPr>
        <w:t>5684 sayılı Kanuna aşağıdaki geçici madde eklenmiştir.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“GEÇİCİ MADDE 13- (1) Bu maddenin yürürlüğe girdiği tarihten önce bu Kanunun 33/A maddesi uyarınca oluşturulmuş ve faaliyet göstermekte olan havuz, organizasyon veya işbirliği mekanizmaları, işletici şirket ile Yönetim Kurulu arasında akdedilen sözleşmeyle Özel Riskler Yönetim Merkezi bünyesine geçer.</w:t>
      </w:r>
    </w:p>
    <w:p w:rsidR="00B13CC2" w:rsidRPr="00B13CC2" w:rsidRDefault="00B13CC2" w:rsidP="00B13CC2">
      <w:pPr>
        <w:jc w:val="both"/>
        <w:rPr>
          <w:rFonts w:ascii="Arial" w:hAnsi="Arial" w:cs="Arial"/>
          <w:sz w:val="20"/>
          <w:szCs w:val="20"/>
        </w:rPr>
      </w:pPr>
      <w:r w:rsidRPr="00B13CC2">
        <w:rPr>
          <w:rFonts w:ascii="Arial" w:hAnsi="Arial" w:cs="Arial"/>
          <w:sz w:val="20"/>
          <w:szCs w:val="20"/>
        </w:rPr>
        <w:t>(2) Özel Riskler Yönetim Merkezi bünyesine geçen havuz, organizasyon ve işbirlikleri için bu maddenin yürürlüğe girdiği tarihten önce yapılan görevlendirmeler ve bu kapsamda yapılan sözleşmeler, birinci fıkra kapsamında yapılan işlemler dışında başkaca bir işlem yapılmasına gerek olmaksızın sona erer.”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14-</w:t>
      </w:r>
      <w:r w:rsidRPr="00B13CC2">
        <w:rPr>
          <w:rFonts w:ascii="Arial" w:hAnsi="Arial" w:cs="Arial"/>
          <w:sz w:val="20"/>
          <w:szCs w:val="20"/>
        </w:rPr>
        <w:t> 25/3/2020 tarihli ve 7226 sayılı Bazı Kanunlarda Değişiklik Yapılmasına Dair Kanunun geçici 3 üncü maddesinin birinci fıkrasının (a) bendi aşağıdaki şekilde değiştirilmiş ve maddeye aşağıdaki fıkra eklenmiştir.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“a) İbraz süresinin son günü 30/4/2021 ilâ 31/5/2021 (bu tarihler dahil) tarihleri arasına isabet eden veya ibraz süresi bu tarihler arasında başlayan çeklerin ibraz süresi 31/5/2021 (bu tarih dahil) tarihine kadar durur. Bu çeklerin belirtilen tarihler arasında ibraz edilmesi ve çek karşılığının tamamen bulunması halinde ödeme yapılır, çek karşılığının bulunmaması veya kısmen bulunması halinde ise karşılıksızdır işlemi yapılmaz. Belirtilen tarihler arasında ibraz edilmeyen veya ibraz edildiği halde karşılıksızdır işlemi yapılmayan çekler 1/6/2021 tarihinden itibaren, kalan ibraz süreleri içinde ibraz edilebilir.”</w:t>
      </w:r>
    </w:p>
    <w:p w:rsidR="00B13CC2" w:rsidRPr="00B13CC2" w:rsidRDefault="00B13CC2" w:rsidP="00B13CC2">
      <w:pPr>
        <w:jc w:val="both"/>
        <w:rPr>
          <w:rFonts w:ascii="Arial" w:hAnsi="Arial" w:cs="Arial"/>
          <w:sz w:val="20"/>
          <w:szCs w:val="20"/>
        </w:rPr>
      </w:pPr>
      <w:r w:rsidRPr="00B13CC2">
        <w:rPr>
          <w:rFonts w:ascii="Arial" w:hAnsi="Arial" w:cs="Arial"/>
          <w:sz w:val="20"/>
          <w:szCs w:val="20"/>
        </w:rPr>
        <w:t>“(2) Bu fıkrayı ihdas eden Kanunun yürürlüğe girdiği tarihten önce birinci fıkranın (a) bendi kapsamındaki çekler bakımından yapılan ibraz, ödeme ve diğer işlemler sebebiyle ilgililerin hukuki, idari, mali ve cezai sorumluluğu doğmaz.”</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15-</w:t>
      </w:r>
      <w:r w:rsidRPr="00B13CC2">
        <w:rPr>
          <w:rFonts w:ascii="Arial" w:hAnsi="Arial" w:cs="Arial"/>
          <w:sz w:val="20"/>
          <w:szCs w:val="20"/>
        </w:rPr>
        <w:t> 3/6/2011 tarihli ve 642 sayılı Doğu Anadolu Projesi, Doğu Karadeniz Projesi ve Konya Ovası Projesi Bölge Kalkınma İdaresi Başkanlıklarının Teşkilat ve Görevleri Hakkında Kanun Hükmünde Kararnamenin 1 inci maddesinin üçüncü fıkrasının ikinci cümlesi aşağıdaki şekilde değiştirilmiştir.</w:t>
      </w:r>
    </w:p>
    <w:p w:rsidR="00B13CC2" w:rsidRPr="00B13CC2" w:rsidRDefault="00B13CC2" w:rsidP="00B13CC2">
      <w:pPr>
        <w:jc w:val="both"/>
        <w:rPr>
          <w:rFonts w:ascii="Arial" w:hAnsi="Arial" w:cs="Arial"/>
          <w:sz w:val="20"/>
          <w:szCs w:val="20"/>
        </w:rPr>
      </w:pPr>
      <w:r w:rsidRPr="00B13CC2">
        <w:rPr>
          <w:rFonts w:ascii="Arial" w:hAnsi="Arial" w:cs="Arial"/>
          <w:sz w:val="20"/>
          <w:szCs w:val="20"/>
        </w:rPr>
        <w:t>“Başkanlıkların görev sürelerini üç defa ile sınırlı olmak üzere beşer yıllığına uzatmaya Cumhurbaşkanı yetkilidir.”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16</w:t>
      </w:r>
      <w:r w:rsidRPr="00B13CC2">
        <w:rPr>
          <w:rFonts w:ascii="Arial" w:hAnsi="Arial" w:cs="Arial"/>
          <w:sz w:val="20"/>
          <w:szCs w:val="20"/>
        </w:rPr>
        <w:t>- Bu Kanun yayımı tarihinde yürürlüğe girer.</w:t>
      </w:r>
    </w:p>
    <w:p w:rsidR="00B13CC2" w:rsidRPr="00B13CC2" w:rsidRDefault="00B13CC2" w:rsidP="00B13CC2">
      <w:pPr>
        <w:jc w:val="both"/>
        <w:rPr>
          <w:rFonts w:ascii="Arial" w:hAnsi="Arial" w:cs="Arial"/>
          <w:sz w:val="20"/>
          <w:szCs w:val="20"/>
        </w:rPr>
      </w:pPr>
      <w:r w:rsidRPr="00B13CC2">
        <w:rPr>
          <w:rFonts w:ascii="Arial" w:hAnsi="Arial" w:cs="Arial"/>
          <w:b/>
          <w:bCs/>
          <w:sz w:val="20"/>
          <w:szCs w:val="20"/>
        </w:rPr>
        <w:t>MADDE 17</w:t>
      </w:r>
      <w:r w:rsidRPr="00B13CC2">
        <w:rPr>
          <w:rFonts w:ascii="Arial" w:hAnsi="Arial" w:cs="Arial"/>
          <w:sz w:val="20"/>
          <w:szCs w:val="20"/>
        </w:rPr>
        <w:t>- Bu Kanun hükümlerini Cumhurbaşkanı yürütür.</w:t>
      </w:r>
    </w:p>
    <w:p w:rsidR="00B13CC2" w:rsidRPr="00B13CC2" w:rsidRDefault="00B13CC2" w:rsidP="00B13CC2">
      <w:pPr>
        <w:jc w:val="both"/>
        <w:rPr>
          <w:rFonts w:ascii="Arial" w:hAnsi="Arial" w:cs="Arial"/>
          <w:sz w:val="20"/>
          <w:szCs w:val="20"/>
        </w:rPr>
      </w:pPr>
    </w:p>
    <w:p w:rsidR="00786B5E" w:rsidRPr="00B13CC2" w:rsidRDefault="00786B5E" w:rsidP="00B13CC2">
      <w:pPr>
        <w:jc w:val="both"/>
        <w:rPr>
          <w:rFonts w:ascii="Arial" w:hAnsi="Arial" w:cs="Arial"/>
          <w:sz w:val="20"/>
          <w:szCs w:val="20"/>
        </w:rPr>
      </w:pPr>
    </w:p>
    <w:sectPr w:rsidR="00786B5E" w:rsidRPr="00B13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C2"/>
    <w:rsid w:val="00786B5E"/>
    <w:rsid w:val="00B13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3292</Words>
  <Characters>18768</Characters>
  <Application>Microsoft Office Word</Application>
  <DocSecurity>0</DocSecurity>
  <Lines>156</Lines>
  <Paragraphs>44</Paragraphs>
  <ScaleCrop>false</ScaleCrop>
  <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1</cp:revision>
  <dcterms:created xsi:type="dcterms:W3CDTF">2021-05-25T06:33:00Z</dcterms:created>
  <dcterms:modified xsi:type="dcterms:W3CDTF">2021-05-25T06:35:00Z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1621924529</vt:lpwstr>
  </property>
  <property fmtid="{D5CDD505-2E9C-101B-9397-08002B2CF9AE}" pid="5" name="DLPManualFileClassificationVersion">
    <vt:lpwstr>11.6.100.33</vt:lpwstr>
  </property>
</Properties>
</file>