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FD" w:rsidRPr="001E7CFD" w:rsidRDefault="001E7CFD" w:rsidP="001E7CFD">
      <w:pPr>
        <w:rPr>
          <w:rFonts w:ascii="Arial" w:hAnsi="Arial" w:cs="Arial"/>
        </w:rPr>
      </w:pPr>
      <w:bookmarkStart w:id="0" w:name="_GoBack"/>
      <w:proofErr w:type="gramStart"/>
      <w:r w:rsidRPr="001E7CFD">
        <w:rPr>
          <w:rFonts w:ascii="Arial" w:hAnsi="Arial" w:cs="Arial"/>
          <w:u w:val="thick"/>
        </w:rPr>
        <w:t>Sigortacılık  ve</w:t>
      </w:r>
      <w:proofErr w:type="gramEnd"/>
      <w:r w:rsidRPr="001E7CFD">
        <w:rPr>
          <w:rFonts w:ascii="Arial" w:hAnsi="Arial" w:cs="Arial"/>
          <w:u w:val="thick"/>
        </w:rPr>
        <w:t xml:space="preserve"> Özel Emeklilik  Düzenleme ve Denetleme Kurumundan:</w:t>
      </w:r>
      <w:r>
        <w:rPr>
          <w:rFonts w:ascii="Arial" w:hAnsi="Arial" w:cs="Arial"/>
        </w:rPr>
        <w:t xml:space="preserve">                 </w:t>
      </w:r>
      <w:r w:rsidRPr="001E7CFD">
        <w:rPr>
          <w:rFonts w:ascii="Arial" w:hAnsi="Arial" w:cs="Arial"/>
        </w:rPr>
        <w:t>26/10/2021</w:t>
      </w:r>
    </w:p>
    <w:p w:rsidR="001E7CFD" w:rsidRPr="001E7CFD" w:rsidRDefault="001E7CFD" w:rsidP="001E7CFD">
      <w:pPr>
        <w:rPr>
          <w:rFonts w:ascii="Arial" w:hAnsi="Arial" w:cs="Arial"/>
        </w:rPr>
      </w:pPr>
    </w:p>
    <w:p w:rsidR="001E7CFD" w:rsidRPr="001E7CFD" w:rsidRDefault="001E7CFD" w:rsidP="001E7CFD">
      <w:pPr>
        <w:jc w:val="center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Katılım Esaslı Sigortacılık Faaliyetleri Çerçe</w:t>
      </w:r>
      <w:r>
        <w:rPr>
          <w:rFonts w:ascii="Arial" w:hAnsi="Arial" w:cs="Arial"/>
          <w:b/>
        </w:rPr>
        <w:t>v</w:t>
      </w:r>
      <w:r w:rsidRPr="001E7CFD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>i</w:t>
      </w:r>
      <w:r w:rsidRPr="001E7CFD">
        <w:rPr>
          <w:rFonts w:ascii="Arial" w:hAnsi="Arial" w:cs="Arial"/>
          <w:b/>
        </w:rPr>
        <w:t>nde Türkiye Modelinin Tanımlanmasına ilişkin Sektör Duyurusu (2021/6)</w:t>
      </w:r>
    </w:p>
    <w:p w:rsidR="001E7CFD" w:rsidRPr="001E7CFD" w:rsidRDefault="001E7CFD" w:rsidP="001E7CFD">
      <w:pPr>
        <w:rPr>
          <w:rFonts w:ascii="Arial" w:hAnsi="Arial" w:cs="Arial"/>
          <w:b/>
        </w:rPr>
      </w:pPr>
    </w:p>
    <w:p w:rsidR="001E7CFD" w:rsidRPr="001E7CFD" w:rsidRDefault="001E7CFD" w:rsidP="001E7CFD">
      <w:pPr>
        <w:rPr>
          <w:rFonts w:ascii="Arial" w:hAnsi="Arial" w:cs="Arial"/>
        </w:rPr>
      </w:pPr>
      <w:r w:rsidRPr="001E7CFD">
        <w:rPr>
          <w:rFonts w:ascii="Arial" w:hAnsi="Arial" w:cs="Arial"/>
        </w:rPr>
        <w:t xml:space="preserve">Bilindiği </w:t>
      </w:r>
      <w:r>
        <w:rPr>
          <w:rFonts w:ascii="Arial" w:hAnsi="Arial" w:cs="Arial"/>
        </w:rPr>
        <w:t>ü</w:t>
      </w:r>
      <w:r w:rsidRPr="001E7CFD">
        <w:rPr>
          <w:rFonts w:ascii="Arial" w:hAnsi="Arial" w:cs="Arial"/>
        </w:rPr>
        <w:t xml:space="preserve">zere. 19 Aralık 2020 tarih ve 31339 resmi gazetede yayımlanan </w:t>
      </w:r>
      <w:r>
        <w:rPr>
          <w:rFonts w:ascii="Arial" w:hAnsi="Arial" w:cs="Arial"/>
        </w:rPr>
        <w:t>‘</w:t>
      </w:r>
      <w:r w:rsidRPr="001E7CFD">
        <w:rPr>
          <w:rFonts w:ascii="Arial" w:hAnsi="Arial" w:cs="Arial"/>
        </w:rPr>
        <w:t>Katılım Esasları Çerçevesinde Sigortacılık ve B</w:t>
      </w:r>
      <w:r>
        <w:rPr>
          <w:rFonts w:ascii="Arial" w:hAnsi="Arial" w:cs="Arial"/>
        </w:rPr>
        <w:t xml:space="preserve">ireysel ile Emeklilik </w:t>
      </w:r>
      <w:r w:rsidRPr="001E7CFD">
        <w:rPr>
          <w:rFonts w:ascii="Arial" w:hAnsi="Arial" w:cs="Arial"/>
        </w:rPr>
        <w:t xml:space="preserve">Faaliyetlerine </w:t>
      </w:r>
      <w:r>
        <w:rPr>
          <w:rFonts w:ascii="Arial" w:hAnsi="Arial" w:cs="Arial"/>
        </w:rPr>
        <w:t>İ</w:t>
      </w:r>
      <w:r w:rsidRPr="001E7CFD">
        <w:rPr>
          <w:rFonts w:ascii="Arial" w:hAnsi="Arial" w:cs="Arial"/>
        </w:rPr>
        <w:t xml:space="preserve">lişkin </w:t>
      </w:r>
      <w:r>
        <w:rPr>
          <w:rFonts w:ascii="Arial" w:hAnsi="Arial" w:cs="Arial"/>
        </w:rPr>
        <w:t>Yönetmelik’</w:t>
      </w:r>
      <w:r w:rsidRPr="001E7CF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“</w:t>
      </w:r>
      <w:r w:rsidRPr="001E7CFD">
        <w:rPr>
          <w:rFonts w:ascii="Arial" w:hAnsi="Arial" w:cs="Arial"/>
        </w:rPr>
        <w:t>uygulamaya ilişkin genel esaslar</w:t>
      </w:r>
      <w:r>
        <w:rPr>
          <w:rFonts w:ascii="Arial" w:hAnsi="Arial" w:cs="Arial"/>
        </w:rPr>
        <w:t>”</w:t>
      </w:r>
      <w:r w:rsidRPr="001E7CFD">
        <w:rPr>
          <w:rFonts w:ascii="Arial" w:hAnsi="Arial" w:cs="Arial"/>
        </w:rPr>
        <w:t xml:space="preserve"> başlıklı </w:t>
      </w:r>
      <w:r w:rsidRPr="001E7CFD">
        <w:rPr>
          <w:rFonts w:ascii="Arial" w:hAnsi="Arial" w:cs="Arial"/>
          <w:i/>
        </w:rPr>
        <w:t xml:space="preserve">5 </w:t>
      </w:r>
      <w:r w:rsidRPr="001E7CFD">
        <w:rPr>
          <w:rFonts w:ascii="Arial" w:hAnsi="Arial" w:cs="Arial"/>
        </w:rPr>
        <w:t>inci maddesi</w:t>
      </w:r>
      <w:r>
        <w:rPr>
          <w:rFonts w:ascii="Arial" w:hAnsi="Arial" w:cs="Arial"/>
        </w:rPr>
        <w:t>,</w:t>
      </w:r>
      <w:r w:rsidRPr="001E7CFD">
        <w:rPr>
          <w:rFonts w:ascii="Arial" w:hAnsi="Arial" w:cs="Arial"/>
        </w:rPr>
        <w:t xml:space="preserve"> katılım esaslı faaliyette bulunmak isteyen şirketlerin taşıması gereken asgari koşulları </w:t>
      </w:r>
      <w:r>
        <w:rPr>
          <w:rFonts w:ascii="Arial" w:hAnsi="Arial" w:cs="Arial"/>
        </w:rPr>
        <w:t>belirtmektedir. Kooperatif,</w:t>
      </w:r>
      <w:r w:rsidRPr="001E7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anonim şirket,</w:t>
      </w:r>
      <w:r w:rsidRPr="001E7CFD">
        <w:rPr>
          <w:rFonts w:ascii="Arial" w:hAnsi="Arial" w:cs="Arial"/>
        </w:rPr>
        <w:t xml:space="preserve"> veya farklı bir statüde faaliyet gösteren sigorta veya </w:t>
      </w:r>
      <w:proofErr w:type="gramStart"/>
      <w:r w:rsidRPr="001E7CFD">
        <w:rPr>
          <w:rFonts w:ascii="Arial" w:hAnsi="Arial" w:cs="Arial"/>
        </w:rPr>
        <w:t>reasürans</w:t>
      </w:r>
      <w:proofErr w:type="gramEnd"/>
      <w:r w:rsidRPr="001E7CFD">
        <w:rPr>
          <w:rFonts w:ascii="Arial" w:hAnsi="Arial" w:cs="Arial"/>
        </w:rPr>
        <w:t xml:space="preserve"> şirketleri özelinde söz konusu koşullar aşağıda özet olarak ifade edilmektedir.</w:t>
      </w:r>
    </w:p>
    <w:p w:rsidR="001E7CFD" w:rsidRPr="001E7CFD" w:rsidRDefault="001E7CFD" w:rsidP="001E7C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7CFD">
        <w:rPr>
          <w:rFonts w:ascii="Arial" w:hAnsi="Arial" w:cs="Arial"/>
        </w:rPr>
        <w:t>Danışma komitesi kurulması.</w:t>
      </w:r>
    </w:p>
    <w:p w:rsidR="001E7CFD" w:rsidRPr="001E7CFD" w:rsidRDefault="001E7CFD" w:rsidP="001E7C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7CFD">
        <w:rPr>
          <w:rFonts w:ascii="Arial" w:hAnsi="Arial" w:cs="Arial"/>
        </w:rPr>
        <w:t>Dinen meşru olmayan konu ve risklerin teminat altına alınmaması.</w:t>
      </w:r>
    </w:p>
    <w:p w:rsidR="001E7CFD" w:rsidRPr="001E7CFD" w:rsidRDefault="001E7CFD" w:rsidP="001E7CF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7CFD">
        <w:rPr>
          <w:rFonts w:ascii="Arial" w:hAnsi="Arial" w:cs="Arial"/>
        </w:rPr>
        <w:t>Finansal varlıkların katılım esasları çerçevesinde yönetilmesi.</w:t>
      </w:r>
    </w:p>
    <w:p w:rsidR="001E7CFD" w:rsidRPr="001E7CFD" w:rsidRDefault="001E7CFD" w:rsidP="001E7CFD">
      <w:pPr>
        <w:rPr>
          <w:rFonts w:ascii="Arial" w:hAnsi="Arial" w:cs="Arial"/>
        </w:rPr>
      </w:pPr>
      <w:r w:rsidRPr="001E7CFD">
        <w:rPr>
          <w:rFonts w:ascii="Arial" w:hAnsi="Arial" w:cs="Arial"/>
        </w:rPr>
        <w:t>Bu kapsamda</w:t>
      </w:r>
      <w:r>
        <w:rPr>
          <w:rFonts w:ascii="Arial" w:hAnsi="Arial" w:cs="Arial"/>
        </w:rPr>
        <w:t>,</w:t>
      </w:r>
      <w:r w:rsidRPr="001E7CFD">
        <w:rPr>
          <w:rFonts w:ascii="Arial" w:hAnsi="Arial" w:cs="Arial"/>
        </w:rPr>
        <w:t xml:space="preserve"> Türkiye modelinin asgari uygulama çerçevesi Yönetmeliğin 5 inci maddesinde belirtilmekte olup, söz konusu </w:t>
      </w:r>
      <w:r>
        <w:rPr>
          <w:rFonts w:ascii="Arial" w:hAnsi="Arial" w:cs="Arial"/>
        </w:rPr>
        <w:t>model esas itibarıyla,</w:t>
      </w:r>
      <w:r w:rsidRPr="001E7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1E7CFD">
        <w:rPr>
          <w:rFonts w:ascii="Arial" w:hAnsi="Arial" w:cs="Arial"/>
        </w:rPr>
        <w:t>anışma komitesi nezaretinde dinen meşru olan konu ve risklerin teminat altına alındığı, finansal varlıkların katılım esasları çerçevesinde yönetildiği sigortacılık uygulamasını ifade etmektedir.</w:t>
      </w:r>
    </w:p>
    <w:p w:rsidR="001E7CFD" w:rsidRPr="001E7CFD" w:rsidRDefault="001E7CFD" w:rsidP="001E7CFD">
      <w:pPr>
        <w:rPr>
          <w:rFonts w:ascii="Arial" w:hAnsi="Arial" w:cs="Arial"/>
        </w:rPr>
      </w:pPr>
      <w:r w:rsidRPr="001E7CFD">
        <w:rPr>
          <w:rFonts w:ascii="Arial" w:hAnsi="Arial" w:cs="Arial"/>
        </w:rPr>
        <w:t xml:space="preserve">Diğer taraftan, </w:t>
      </w:r>
      <w:proofErr w:type="gramStart"/>
      <w:r w:rsidRPr="001E7CFD">
        <w:rPr>
          <w:rFonts w:ascii="Arial" w:hAnsi="Arial" w:cs="Arial"/>
        </w:rPr>
        <w:t>mezkur</w:t>
      </w:r>
      <w:proofErr w:type="gramEnd"/>
      <w:r w:rsidRPr="001E7CFD">
        <w:rPr>
          <w:rFonts w:ascii="Arial" w:hAnsi="Arial" w:cs="Arial"/>
        </w:rPr>
        <w:t xml:space="preserve"> Yönetmeliğin uygulamaya ilişkin özel esaslar başlıklı 6 </w:t>
      </w:r>
      <w:proofErr w:type="spellStart"/>
      <w:r w:rsidRPr="001E7CFD">
        <w:rPr>
          <w:rFonts w:ascii="Arial" w:hAnsi="Arial" w:cs="Arial"/>
        </w:rPr>
        <w:t>ncı</w:t>
      </w:r>
      <w:proofErr w:type="spellEnd"/>
      <w:r w:rsidRPr="001E7CFD">
        <w:rPr>
          <w:rFonts w:ascii="Arial" w:hAnsi="Arial" w:cs="Arial"/>
        </w:rPr>
        <w:t xml:space="preserve"> maddesinin birinci fıkrasında yer</w:t>
      </w:r>
      <w:r>
        <w:rPr>
          <w:rFonts w:ascii="Arial" w:hAnsi="Arial" w:cs="Arial"/>
        </w:rPr>
        <w:t xml:space="preserve"> </w:t>
      </w:r>
      <w:r w:rsidRPr="001E7CFD">
        <w:rPr>
          <w:rFonts w:ascii="Arial" w:hAnsi="Arial" w:cs="Arial"/>
        </w:rPr>
        <w:t xml:space="preserve">alan; </w:t>
      </w:r>
      <w:r w:rsidRPr="001E7CFD">
        <w:rPr>
          <w:rFonts w:ascii="Arial" w:hAnsi="Arial" w:cs="Arial"/>
          <w:i/>
        </w:rPr>
        <w:t>"Şirket: dayanışma</w:t>
      </w:r>
      <w:r>
        <w:rPr>
          <w:rFonts w:ascii="Arial" w:hAnsi="Arial" w:cs="Arial"/>
          <w:i/>
        </w:rPr>
        <w:t>,</w:t>
      </w:r>
      <w:r w:rsidRPr="001E7CFD">
        <w:rPr>
          <w:rFonts w:ascii="Arial" w:hAnsi="Arial" w:cs="Arial"/>
          <w:i/>
        </w:rPr>
        <w:t xml:space="preserve"> Yard</w:t>
      </w:r>
      <w:r>
        <w:rPr>
          <w:rFonts w:ascii="Arial" w:hAnsi="Arial" w:cs="Arial"/>
          <w:i/>
        </w:rPr>
        <w:t>ı</w:t>
      </w:r>
      <w:r w:rsidRPr="001E7CFD">
        <w:rPr>
          <w:rFonts w:ascii="Arial" w:hAnsi="Arial" w:cs="Arial"/>
          <w:i/>
        </w:rPr>
        <w:t>mlaşma</w:t>
      </w:r>
      <w:r>
        <w:rPr>
          <w:rFonts w:ascii="Arial" w:hAnsi="Arial" w:cs="Arial"/>
          <w:i/>
        </w:rPr>
        <w:t xml:space="preserve">, </w:t>
      </w:r>
      <w:r w:rsidRPr="001E7CFD">
        <w:rPr>
          <w:rFonts w:ascii="Arial" w:hAnsi="Arial" w:cs="Arial"/>
          <w:i/>
        </w:rPr>
        <w:t>fon veya hesapların ayırımı</w:t>
      </w:r>
      <w:r>
        <w:rPr>
          <w:rFonts w:ascii="Arial" w:hAnsi="Arial" w:cs="Arial"/>
          <w:i/>
        </w:rPr>
        <w:t xml:space="preserve"> </w:t>
      </w:r>
      <w:r w:rsidRPr="001E7CFD">
        <w:rPr>
          <w:rFonts w:ascii="Arial" w:hAnsi="Arial" w:cs="Arial"/>
          <w:i/>
        </w:rPr>
        <w:t>gibi esaslara dayalı farklı bir</w:t>
      </w:r>
      <w:r>
        <w:rPr>
          <w:rFonts w:ascii="Arial" w:hAnsi="Arial" w:cs="Arial"/>
          <w:i/>
        </w:rPr>
        <w:t xml:space="preserve"> faali</w:t>
      </w:r>
      <w:r w:rsidRPr="001E7CFD">
        <w:rPr>
          <w:rFonts w:ascii="Arial" w:hAnsi="Arial" w:cs="Arial"/>
          <w:i/>
        </w:rPr>
        <w:t>yet</w:t>
      </w:r>
      <w:r>
        <w:rPr>
          <w:rFonts w:ascii="Arial" w:hAnsi="Arial" w:cs="Arial"/>
          <w:i/>
        </w:rPr>
        <w:t xml:space="preserve"> modeli uygu</w:t>
      </w:r>
      <w:r w:rsidRPr="001E7CFD">
        <w:rPr>
          <w:rFonts w:ascii="Arial" w:hAnsi="Arial" w:cs="Arial"/>
          <w:i/>
        </w:rPr>
        <w:t xml:space="preserve">layabilir. Söz konusu modelin </w:t>
      </w:r>
      <w:r>
        <w:rPr>
          <w:rFonts w:ascii="Arial" w:hAnsi="Arial" w:cs="Arial"/>
          <w:i/>
        </w:rPr>
        <w:t>danı</w:t>
      </w:r>
      <w:r w:rsidRPr="001E7CFD">
        <w:rPr>
          <w:rFonts w:ascii="Arial" w:hAnsi="Arial" w:cs="Arial"/>
          <w:i/>
        </w:rPr>
        <w:t xml:space="preserve">şma </w:t>
      </w:r>
      <w:r>
        <w:rPr>
          <w:rFonts w:ascii="Arial" w:hAnsi="Arial" w:cs="Arial"/>
          <w:i/>
        </w:rPr>
        <w:t>komitesi</w:t>
      </w:r>
      <w:r w:rsidRPr="001E7CFD">
        <w:rPr>
          <w:rFonts w:ascii="Arial" w:hAnsi="Arial" w:cs="Arial"/>
          <w:i/>
        </w:rPr>
        <w:t xml:space="preserve">nce </w:t>
      </w:r>
      <w:r>
        <w:rPr>
          <w:rFonts w:ascii="Arial" w:hAnsi="Arial" w:cs="Arial"/>
          <w:i/>
        </w:rPr>
        <w:t>onayl</w:t>
      </w:r>
      <w:r w:rsidRPr="001E7CFD">
        <w:rPr>
          <w:rFonts w:ascii="Arial" w:hAnsi="Arial" w:cs="Arial"/>
          <w:i/>
        </w:rPr>
        <w:t>anma</w:t>
      </w:r>
      <w:r>
        <w:rPr>
          <w:rFonts w:ascii="Arial" w:hAnsi="Arial" w:cs="Arial"/>
          <w:i/>
        </w:rPr>
        <w:t>sı</w:t>
      </w:r>
      <w:r w:rsidRPr="001E7CFD">
        <w:rPr>
          <w:rFonts w:ascii="Arial" w:hAnsi="Arial" w:cs="Arial"/>
          <w:i/>
        </w:rPr>
        <w:t xml:space="preserve"> ve bu </w:t>
      </w:r>
      <w:r>
        <w:rPr>
          <w:rFonts w:ascii="Arial" w:hAnsi="Arial" w:cs="Arial"/>
          <w:i/>
        </w:rPr>
        <w:t>Yönetm</w:t>
      </w:r>
      <w:r w:rsidRPr="001E7CFD">
        <w:rPr>
          <w:rFonts w:ascii="Arial" w:hAnsi="Arial" w:cs="Arial"/>
          <w:i/>
        </w:rPr>
        <w:t xml:space="preserve">elik </w:t>
      </w:r>
      <w:r>
        <w:rPr>
          <w:rFonts w:ascii="Arial" w:hAnsi="Arial" w:cs="Arial"/>
          <w:i/>
        </w:rPr>
        <w:t>hü</w:t>
      </w:r>
      <w:r w:rsidRPr="001E7CFD">
        <w:rPr>
          <w:rFonts w:ascii="Arial" w:hAnsi="Arial" w:cs="Arial"/>
          <w:i/>
        </w:rPr>
        <w:t xml:space="preserve">kümlerine aykırılık oluşturmayacak şekilde </w:t>
      </w:r>
      <w:r>
        <w:rPr>
          <w:rFonts w:ascii="Arial" w:hAnsi="Arial" w:cs="Arial"/>
          <w:i/>
        </w:rPr>
        <w:t>uygulanması zoru</w:t>
      </w:r>
      <w:r w:rsidRPr="001E7CFD">
        <w:rPr>
          <w:rFonts w:ascii="Arial" w:hAnsi="Arial" w:cs="Arial"/>
          <w:i/>
        </w:rPr>
        <w:t xml:space="preserve">nludur." </w:t>
      </w:r>
      <w:r w:rsidRPr="001E7CFD">
        <w:rPr>
          <w:rFonts w:ascii="Arial" w:hAnsi="Arial" w:cs="Arial"/>
        </w:rPr>
        <w:t xml:space="preserve">hükmü 5 inci maddede belirtilen </w:t>
      </w:r>
      <w:r>
        <w:rPr>
          <w:rFonts w:ascii="Arial" w:hAnsi="Arial" w:cs="Arial"/>
        </w:rPr>
        <w:t>asgari</w:t>
      </w:r>
      <w:r w:rsidRPr="001E7CFD">
        <w:rPr>
          <w:rFonts w:ascii="Arial" w:hAnsi="Arial" w:cs="Arial"/>
        </w:rPr>
        <w:t xml:space="preserve"> koşullara riayet etmek şartıyla farklı uygulama biçimlerine de </w:t>
      </w:r>
      <w:proofErr w:type="gramStart"/>
      <w:r w:rsidRPr="001E7CFD">
        <w:rPr>
          <w:rFonts w:ascii="Arial" w:hAnsi="Arial" w:cs="Arial"/>
        </w:rPr>
        <w:t>imkan</w:t>
      </w:r>
      <w:proofErr w:type="gramEnd"/>
      <w:r w:rsidRPr="001E7CFD">
        <w:rPr>
          <w:rFonts w:ascii="Arial" w:hAnsi="Arial" w:cs="Arial"/>
        </w:rPr>
        <w:t xml:space="preserve"> tanımaktadır.</w:t>
      </w:r>
    </w:p>
    <w:p w:rsidR="001E7CFD" w:rsidRPr="001E7CFD" w:rsidRDefault="001E7CFD" w:rsidP="001E7CFD">
      <w:pPr>
        <w:rPr>
          <w:rFonts w:ascii="Arial" w:hAnsi="Arial" w:cs="Arial"/>
        </w:rPr>
      </w:pPr>
      <w:r w:rsidRPr="001E7CFD">
        <w:rPr>
          <w:rFonts w:ascii="Arial" w:hAnsi="Arial" w:cs="Arial"/>
        </w:rPr>
        <w:t>Yukarıda belirtilen mevzuat hükümleri kapsamında Türkiye modelinin asgari çerçevesinde:</w:t>
      </w:r>
    </w:p>
    <w:p w:rsidR="001E7CFD" w:rsidRDefault="001E7CFD" w:rsidP="001E7CFD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 w:rsidRPr="001E7CFD">
        <w:rPr>
          <w:rFonts w:ascii="Arial" w:hAnsi="Arial" w:cs="Arial"/>
        </w:rPr>
        <w:t>sözleşmenin</w:t>
      </w:r>
      <w:proofErr w:type="gramEnd"/>
      <w:r w:rsidRPr="001E7CFD">
        <w:rPr>
          <w:rFonts w:ascii="Arial" w:hAnsi="Arial" w:cs="Arial"/>
        </w:rPr>
        <w:t xml:space="preserve"> hibe esaslı olması,</w:t>
      </w:r>
    </w:p>
    <w:p w:rsidR="001E7CFD" w:rsidRPr="001E7CFD" w:rsidRDefault="001E7CFD" w:rsidP="001E7CFD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 w:rsidRPr="001E7CFD">
        <w:rPr>
          <w:rFonts w:ascii="Arial" w:hAnsi="Arial" w:cs="Arial"/>
        </w:rPr>
        <w:t>vekalet</w:t>
      </w:r>
      <w:proofErr w:type="gramEnd"/>
      <w:r w:rsidRPr="001E7CFD">
        <w:rPr>
          <w:rFonts w:ascii="Arial" w:hAnsi="Arial" w:cs="Arial"/>
        </w:rPr>
        <w:t xml:space="preserve"> gibi ücretlendirme, </w:t>
      </w:r>
      <w:proofErr w:type="spellStart"/>
      <w:r w:rsidRPr="001E7CFD">
        <w:rPr>
          <w:rFonts w:ascii="Arial" w:hAnsi="Arial" w:cs="Arial"/>
        </w:rPr>
        <w:t>mudaraba</w:t>
      </w:r>
      <w:proofErr w:type="spellEnd"/>
      <w:r w:rsidRPr="001E7CFD">
        <w:rPr>
          <w:rFonts w:ascii="Arial" w:hAnsi="Arial" w:cs="Arial"/>
        </w:rPr>
        <w:t xml:space="preserve"> gibi kar paylaşım yöntemleri belirlenmesi,</w:t>
      </w:r>
    </w:p>
    <w:p w:rsidR="001E7CFD" w:rsidRPr="001E7CFD" w:rsidRDefault="001E7CFD" w:rsidP="00245710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 w:rsidRPr="001E7CFD">
        <w:rPr>
          <w:rFonts w:ascii="Arial" w:hAnsi="Arial" w:cs="Arial"/>
        </w:rPr>
        <w:t>sermayedar</w:t>
      </w:r>
      <w:proofErr w:type="gramEnd"/>
      <w:r w:rsidRPr="001E7CFD">
        <w:rPr>
          <w:rFonts w:ascii="Arial" w:hAnsi="Arial" w:cs="Arial"/>
        </w:rPr>
        <w:t xml:space="preserve"> fonlarının ayrıştırılması,</w:t>
      </w:r>
    </w:p>
    <w:p w:rsidR="001E7CFD" w:rsidRPr="001E7CFD" w:rsidRDefault="001E7CFD" w:rsidP="001E7CFD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 w:rsidRPr="001E7CFD">
        <w:rPr>
          <w:rFonts w:ascii="Arial" w:hAnsi="Arial" w:cs="Arial"/>
        </w:rPr>
        <w:t>tüzel</w:t>
      </w:r>
      <w:proofErr w:type="gramEnd"/>
      <w:r w:rsidRPr="001E7CFD">
        <w:rPr>
          <w:rFonts w:ascii="Arial" w:hAnsi="Arial" w:cs="Arial"/>
        </w:rPr>
        <w:t xml:space="preserve"> kişiliği haiz fon kurulması.</w:t>
      </w:r>
    </w:p>
    <w:p w:rsidR="001E7CFD" w:rsidRPr="001E7CFD" w:rsidRDefault="001E7CFD" w:rsidP="001E7CFD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 w:rsidRPr="001E7CFD">
        <w:rPr>
          <w:rFonts w:ascii="Arial" w:hAnsi="Arial" w:cs="Arial"/>
        </w:rPr>
        <w:t>iade</w:t>
      </w:r>
      <w:proofErr w:type="gramEnd"/>
      <w:r w:rsidRPr="001E7CFD">
        <w:rPr>
          <w:rFonts w:ascii="Arial" w:hAnsi="Arial" w:cs="Arial"/>
        </w:rPr>
        <w:t>, bakiye veya borç (</w:t>
      </w:r>
      <w:proofErr w:type="spellStart"/>
      <w:r w:rsidRPr="001E7CFD">
        <w:rPr>
          <w:rFonts w:ascii="Arial" w:hAnsi="Arial" w:cs="Arial"/>
        </w:rPr>
        <w:t>karz</w:t>
      </w:r>
      <w:proofErr w:type="spellEnd"/>
      <w:r w:rsidRPr="001E7CFD">
        <w:rPr>
          <w:rFonts w:ascii="Arial" w:hAnsi="Arial" w:cs="Arial"/>
        </w:rPr>
        <w:t>)</w:t>
      </w:r>
    </w:p>
    <w:p w:rsidR="001E7CFD" w:rsidRPr="001E7CFD" w:rsidRDefault="001E7CFD" w:rsidP="001E7CFD">
      <w:pPr>
        <w:rPr>
          <w:rFonts w:ascii="Arial" w:hAnsi="Arial" w:cs="Arial"/>
        </w:rPr>
      </w:pPr>
      <w:proofErr w:type="gramStart"/>
      <w:r w:rsidRPr="001E7CFD">
        <w:rPr>
          <w:rFonts w:ascii="Arial" w:hAnsi="Arial" w:cs="Arial"/>
        </w:rPr>
        <w:t>ve</w:t>
      </w:r>
      <w:proofErr w:type="gramEnd"/>
      <w:r w:rsidRPr="001E7CFD">
        <w:rPr>
          <w:rFonts w:ascii="Arial" w:hAnsi="Arial" w:cs="Arial"/>
        </w:rPr>
        <w:t xml:space="preserve"> benzeri uygulamalar zorunluluk arz etmemektedir.</w:t>
      </w:r>
    </w:p>
    <w:p w:rsidR="001E7CFD" w:rsidRPr="001E7CFD" w:rsidRDefault="001E7CFD" w:rsidP="001E7CFD">
      <w:pPr>
        <w:rPr>
          <w:rFonts w:ascii="Arial" w:hAnsi="Arial" w:cs="Arial"/>
        </w:rPr>
      </w:pPr>
      <w:r w:rsidRPr="001E7CFD">
        <w:rPr>
          <w:rFonts w:ascii="Arial" w:hAnsi="Arial" w:cs="Arial"/>
        </w:rPr>
        <w:t xml:space="preserve">Yönetmeliğin </w:t>
      </w:r>
      <w:r w:rsidRPr="001E7CFD">
        <w:rPr>
          <w:rFonts w:ascii="Arial" w:hAnsi="Arial" w:cs="Arial"/>
          <w:i/>
        </w:rPr>
        <w:t xml:space="preserve">5 </w:t>
      </w:r>
      <w:r w:rsidRPr="001E7CFD">
        <w:rPr>
          <w:rFonts w:ascii="Arial" w:hAnsi="Arial" w:cs="Arial"/>
        </w:rPr>
        <w:t xml:space="preserve">inci maddesinde belirtilen üç koşulu taşımak kaydıyla kooperatif, anonim şirket veya farklı bir statüde faaliyet gösteren sigorta veya </w:t>
      </w:r>
      <w:proofErr w:type="gramStart"/>
      <w:r w:rsidRPr="001E7CFD">
        <w:rPr>
          <w:rFonts w:ascii="Arial" w:hAnsi="Arial" w:cs="Arial"/>
        </w:rPr>
        <w:t>reasürans</w:t>
      </w:r>
      <w:proofErr w:type="gramEnd"/>
      <w:r w:rsidRPr="001E7CFD">
        <w:rPr>
          <w:rFonts w:ascii="Arial" w:hAnsi="Arial" w:cs="Arial"/>
        </w:rPr>
        <w:t xml:space="preserve"> şirketlerinin:</w:t>
      </w:r>
    </w:p>
    <w:p w:rsidR="001E7CFD" w:rsidRPr="001E7CFD" w:rsidRDefault="001E7CFD" w:rsidP="001E7CFD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 w:rsidRPr="001E7CFD">
        <w:rPr>
          <w:rFonts w:ascii="Arial" w:hAnsi="Arial" w:cs="Arial"/>
        </w:rPr>
        <w:lastRenderedPageBreak/>
        <w:t>mevcut</w:t>
      </w:r>
      <w:proofErr w:type="gramEnd"/>
      <w:r w:rsidRPr="001E7CFD">
        <w:rPr>
          <w:rFonts w:ascii="Arial" w:hAnsi="Arial" w:cs="Arial"/>
        </w:rPr>
        <w:t xml:space="preserve"> sözleşme yapıları ile (hibe veya yardımlaşma esaslı olması zorunlu değil)</w:t>
      </w:r>
    </w:p>
    <w:p w:rsidR="001E7CFD" w:rsidRPr="001E7CFD" w:rsidRDefault="001E7CFD" w:rsidP="001E7CFD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 w:rsidRPr="001E7CFD">
        <w:rPr>
          <w:rFonts w:ascii="Arial" w:hAnsi="Arial" w:cs="Arial"/>
        </w:rPr>
        <w:t>mevcut</w:t>
      </w:r>
      <w:proofErr w:type="gramEnd"/>
      <w:r w:rsidRPr="001E7CFD">
        <w:rPr>
          <w:rFonts w:ascii="Arial" w:hAnsi="Arial" w:cs="Arial"/>
        </w:rPr>
        <w:t xml:space="preserve"> sermaye yapıları ile (sermayedar ve </w:t>
      </w:r>
      <w:r>
        <w:rPr>
          <w:rFonts w:ascii="Arial" w:hAnsi="Arial" w:cs="Arial"/>
        </w:rPr>
        <w:t>katı</w:t>
      </w:r>
      <w:r w:rsidRPr="001E7CFD">
        <w:rPr>
          <w:rFonts w:ascii="Arial" w:hAnsi="Arial" w:cs="Arial"/>
        </w:rPr>
        <w:t>lımcı fonu ayrımı zorunlu değil)</w:t>
      </w:r>
    </w:p>
    <w:p w:rsidR="001E7CFD" w:rsidRPr="001E7CFD" w:rsidRDefault="001E7CFD" w:rsidP="001E7CFD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 w:rsidRPr="001E7CFD">
        <w:rPr>
          <w:rFonts w:ascii="Arial" w:hAnsi="Arial" w:cs="Arial"/>
        </w:rPr>
        <w:t>mevcut</w:t>
      </w:r>
      <w:proofErr w:type="gramEnd"/>
      <w:r w:rsidRPr="001E7CFD">
        <w:rPr>
          <w:rFonts w:ascii="Arial" w:hAnsi="Arial" w:cs="Arial"/>
        </w:rPr>
        <w:t xml:space="preserve"> kar zarar uygulamaları ile (iade. </w:t>
      </w:r>
      <w:proofErr w:type="gramStart"/>
      <w:r w:rsidRPr="001E7CFD">
        <w:rPr>
          <w:rFonts w:ascii="Arial" w:hAnsi="Arial" w:cs="Arial"/>
        </w:rPr>
        <w:t>bakiye</w:t>
      </w:r>
      <w:proofErr w:type="gramEnd"/>
      <w:r w:rsidRPr="001E7CFD">
        <w:rPr>
          <w:rFonts w:ascii="Arial" w:hAnsi="Arial" w:cs="Arial"/>
        </w:rPr>
        <w:t xml:space="preserve"> veya borç (</w:t>
      </w:r>
      <w:proofErr w:type="spellStart"/>
      <w:r w:rsidRPr="001E7CFD">
        <w:rPr>
          <w:rFonts w:ascii="Arial" w:hAnsi="Arial" w:cs="Arial"/>
        </w:rPr>
        <w:t>karz</w:t>
      </w:r>
      <w:proofErr w:type="spellEnd"/>
      <w:r w:rsidRPr="001E7CFD">
        <w:rPr>
          <w:rFonts w:ascii="Arial" w:hAnsi="Arial" w:cs="Arial"/>
        </w:rPr>
        <w:t>) uygulaması zorunlu değil)</w:t>
      </w:r>
    </w:p>
    <w:p w:rsidR="001E7CFD" w:rsidRPr="001E7CFD" w:rsidRDefault="001E7CFD" w:rsidP="001E7CFD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 w:rsidRPr="001E7CFD">
        <w:rPr>
          <w:rFonts w:ascii="Arial" w:hAnsi="Arial" w:cs="Arial"/>
        </w:rPr>
        <w:t>mevcut</w:t>
      </w:r>
      <w:proofErr w:type="gramEnd"/>
      <w:r w:rsidRPr="001E7CFD">
        <w:rPr>
          <w:rFonts w:ascii="Arial" w:hAnsi="Arial" w:cs="Arial"/>
        </w:rPr>
        <w:t xml:space="preserve"> organizasyonel yapıları ile (operatör veya işletmeci ayrımı zorunlu değil)</w:t>
      </w:r>
    </w:p>
    <w:p w:rsidR="001E7CFD" w:rsidRPr="001E7CFD" w:rsidRDefault="001E7CFD" w:rsidP="001E7CFD">
      <w:pPr>
        <w:numPr>
          <w:ilvl w:val="1"/>
          <w:numId w:val="1"/>
        </w:numPr>
        <w:jc w:val="both"/>
        <w:rPr>
          <w:rFonts w:ascii="Arial" w:hAnsi="Arial" w:cs="Arial"/>
        </w:rPr>
      </w:pPr>
      <w:proofErr w:type="gramStart"/>
      <w:r w:rsidRPr="001E7CFD">
        <w:rPr>
          <w:rFonts w:ascii="Arial" w:hAnsi="Arial" w:cs="Arial"/>
        </w:rPr>
        <w:t>mevcut</w:t>
      </w:r>
      <w:proofErr w:type="gramEnd"/>
      <w:r w:rsidRPr="001E7CFD">
        <w:rPr>
          <w:rFonts w:ascii="Arial" w:hAnsi="Arial" w:cs="Arial"/>
        </w:rPr>
        <w:t xml:space="preserve"> muhasebe ve raporlama yapıları ite (katılım esasları çerçevesinde paranın zaman değeri ve özün önceliği kavramlarına riayet etmek şartıyla)</w:t>
      </w:r>
    </w:p>
    <w:p w:rsidR="001E7CFD" w:rsidRPr="001E7CFD" w:rsidRDefault="001E7CFD" w:rsidP="001E7CFD">
      <w:pPr>
        <w:rPr>
          <w:rFonts w:ascii="Arial" w:hAnsi="Arial" w:cs="Arial"/>
        </w:rPr>
      </w:pPr>
      <w:r w:rsidRPr="001E7CFD">
        <w:rPr>
          <w:rFonts w:ascii="Arial" w:hAnsi="Arial" w:cs="Arial"/>
        </w:rPr>
        <w:t>faaliyet gösterebilmesi mümkün bulunmakta olup, bu faaliyet biçimi Türkiye modeli kapsamında değerlendiri</w:t>
      </w:r>
      <w:r>
        <w:rPr>
          <w:rFonts w:ascii="Arial" w:hAnsi="Arial" w:cs="Arial"/>
        </w:rPr>
        <w:t>l</w:t>
      </w:r>
      <w:r w:rsidRPr="001E7CFD">
        <w:rPr>
          <w:rFonts w:ascii="Arial" w:hAnsi="Arial" w:cs="Arial"/>
        </w:rPr>
        <w:t>mektedir.</w:t>
      </w:r>
    </w:p>
    <w:p w:rsidR="00885FE3" w:rsidRPr="001E7CFD" w:rsidRDefault="00885FE3">
      <w:pPr>
        <w:rPr>
          <w:rFonts w:ascii="Arial" w:hAnsi="Arial" w:cs="Arial"/>
        </w:rPr>
      </w:pPr>
    </w:p>
    <w:bookmarkEnd w:id="0"/>
    <w:p w:rsidR="001E7CFD" w:rsidRPr="001E7CFD" w:rsidRDefault="001E7CFD">
      <w:pPr>
        <w:rPr>
          <w:rFonts w:ascii="Arial" w:hAnsi="Arial" w:cs="Arial"/>
        </w:rPr>
      </w:pPr>
    </w:p>
    <w:sectPr w:rsidR="001E7CFD" w:rsidRPr="001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0BC"/>
    <w:multiLevelType w:val="hybridMultilevel"/>
    <w:tmpl w:val="3BE07084"/>
    <w:lvl w:ilvl="0" w:tplc="0BE21E5C">
      <w:start w:val="1"/>
      <w:numFmt w:val="decimal"/>
      <w:lvlText w:val="%1)"/>
      <w:lvlJc w:val="left"/>
      <w:pPr>
        <w:ind w:left="1017" w:hanging="243"/>
      </w:pPr>
      <w:rPr>
        <w:rFonts w:hint="default"/>
        <w:w w:val="101"/>
      </w:rPr>
    </w:lvl>
    <w:lvl w:ilvl="1" w:tplc="133420AE">
      <w:numFmt w:val="bullet"/>
      <w:lvlText w:val="•"/>
      <w:lvlJc w:val="left"/>
      <w:pPr>
        <w:ind w:left="1561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848"/>
        <w:w w:val="101"/>
        <w:sz w:val="23"/>
        <w:szCs w:val="23"/>
      </w:rPr>
    </w:lvl>
    <w:lvl w:ilvl="2" w:tplc="0B4CCAAC">
      <w:numFmt w:val="bullet"/>
      <w:lvlText w:val="•"/>
      <w:lvlJc w:val="left"/>
      <w:pPr>
        <w:ind w:left="2555" w:hanging="358"/>
      </w:pPr>
      <w:rPr>
        <w:rFonts w:hint="default"/>
      </w:rPr>
    </w:lvl>
    <w:lvl w:ilvl="3" w:tplc="B784D8BC">
      <w:numFmt w:val="bullet"/>
      <w:lvlText w:val="•"/>
      <w:lvlJc w:val="left"/>
      <w:pPr>
        <w:ind w:left="3551" w:hanging="358"/>
      </w:pPr>
      <w:rPr>
        <w:rFonts w:hint="default"/>
      </w:rPr>
    </w:lvl>
    <w:lvl w:ilvl="4" w:tplc="23B8BF24">
      <w:numFmt w:val="bullet"/>
      <w:lvlText w:val="•"/>
      <w:lvlJc w:val="left"/>
      <w:pPr>
        <w:ind w:left="4546" w:hanging="358"/>
      </w:pPr>
      <w:rPr>
        <w:rFonts w:hint="default"/>
      </w:rPr>
    </w:lvl>
    <w:lvl w:ilvl="5" w:tplc="49025C7A">
      <w:numFmt w:val="bullet"/>
      <w:lvlText w:val="•"/>
      <w:lvlJc w:val="left"/>
      <w:pPr>
        <w:ind w:left="5542" w:hanging="358"/>
      </w:pPr>
      <w:rPr>
        <w:rFonts w:hint="default"/>
      </w:rPr>
    </w:lvl>
    <w:lvl w:ilvl="6" w:tplc="10D28546">
      <w:numFmt w:val="bullet"/>
      <w:lvlText w:val="•"/>
      <w:lvlJc w:val="left"/>
      <w:pPr>
        <w:ind w:left="6537" w:hanging="358"/>
      </w:pPr>
      <w:rPr>
        <w:rFonts w:hint="default"/>
      </w:rPr>
    </w:lvl>
    <w:lvl w:ilvl="7" w:tplc="697C3C18">
      <w:numFmt w:val="bullet"/>
      <w:lvlText w:val="•"/>
      <w:lvlJc w:val="left"/>
      <w:pPr>
        <w:ind w:left="7533" w:hanging="358"/>
      </w:pPr>
      <w:rPr>
        <w:rFonts w:hint="default"/>
      </w:rPr>
    </w:lvl>
    <w:lvl w:ilvl="8" w:tplc="BEB6EDFE">
      <w:numFmt w:val="bullet"/>
      <w:lvlText w:val="•"/>
      <w:lvlJc w:val="left"/>
      <w:pPr>
        <w:ind w:left="8528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FD"/>
    <w:rsid w:val="001E7CFD"/>
    <w:rsid w:val="008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6E0"/>
  <w15:chartTrackingRefBased/>
  <w15:docId w15:val="{07CDFB56-FE6D-4620-BF02-4915756A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 KISAS</dc:creator>
  <cp:keywords/>
  <dc:description/>
  <cp:lastModifiedBy>Seren KISAS</cp:lastModifiedBy>
  <cp:revision>1</cp:revision>
  <dcterms:created xsi:type="dcterms:W3CDTF">2021-11-04T10:00:00Z</dcterms:created>
  <dcterms:modified xsi:type="dcterms:W3CDTF">2021-11-04T10:11:00Z</dcterms:modified>
</cp:coreProperties>
</file>