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CD" w:rsidRPr="00AA5288" w:rsidRDefault="00A94ACD" w:rsidP="00AA5288">
      <w:pPr>
        <w:pStyle w:val="Balk2"/>
        <w:spacing w:before="0"/>
        <w:jc w:val="center"/>
        <w:rPr>
          <w:rFonts w:ascii="Arial" w:hAnsi="Arial" w:cs="Arial"/>
          <w:sz w:val="24"/>
          <w:szCs w:val="24"/>
        </w:rPr>
      </w:pPr>
      <w:bookmarkStart w:id="0" w:name="_Toc10203490"/>
      <w:bookmarkStart w:id="1" w:name="_Toc38613096"/>
      <w:bookmarkStart w:id="2" w:name="_Toc41216846"/>
      <w:bookmarkStart w:id="3" w:name="_Toc116026645"/>
      <w:r w:rsidRPr="00AA5288">
        <w:rPr>
          <w:rFonts w:ascii="Arial" w:hAnsi="Arial" w:cs="Arial"/>
          <w:sz w:val="24"/>
          <w:szCs w:val="24"/>
        </w:rPr>
        <w:t>SERMAYE PİYASASI KURULUNUN 23.11.2018 TARİH VE 58/1355 SAYILI İLKE KARARI</w:t>
      </w:r>
      <w:bookmarkEnd w:id="0"/>
      <w:bookmarkEnd w:id="1"/>
      <w:bookmarkEnd w:id="2"/>
      <w:bookmarkEnd w:id="3"/>
    </w:p>
    <w:p w:rsidR="00A94ACD" w:rsidRDefault="00A94ACD" w:rsidP="00AA5288">
      <w:pPr>
        <w:spacing w:after="0" w:line="276" w:lineRule="auto"/>
        <w:jc w:val="both"/>
        <w:rPr>
          <w:rFonts w:eastAsia="Calibri"/>
        </w:rPr>
      </w:pPr>
    </w:p>
    <w:p w:rsidR="00AA5288" w:rsidRPr="00C665C3" w:rsidRDefault="00AA5288" w:rsidP="00AA5288">
      <w:pPr>
        <w:spacing w:after="0" w:line="276" w:lineRule="auto"/>
        <w:jc w:val="both"/>
        <w:rPr>
          <w:rFonts w:eastAsia="Calibri"/>
        </w:rPr>
      </w:pPr>
    </w:p>
    <w:p w:rsidR="00A94ACD" w:rsidRPr="00AA5288" w:rsidRDefault="00AA5288" w:rsidP="00AA5288">
      <w:pPr>
        <w:widowControl w:val="0"/>
        <w:spacing w:after="0" w:line="276" w:lineRule="auto"/>
        <w:ind w:left="170" w:right="170"/>
        <w:jc w:val="both"/>
        <w:rPr>
          <w:rFonts w:ascii="Arial" w:hAnsi="Arial" w:cs="Arial"/>
          <w:noProof w:val="0"/>
          <w:color w:val="000000"/>
          <w:kern w:val="16"/>
          <w:sz w:val="20"/>
          <w:szCs w:val="20"/>
        </w:rPr>
      </w:pPr>
      <w:r>
        <w:rPr>
          <w:rFonts w:ascii="Arial" w:hAnsi="Arial" w:cs="Arial"/>
          <w:noProof w:val="0"/>
          <w:color w:val="000000"/>
          <w:kern w:val="16"/>
          <w:sz w:val="20"/>
          <w:szCs w:val="20"/>
        </w:rPr>
        <w:t xml:space="preserve">1. </w:t>
      </w:r>
      <w:r w:rsidR="00A94ACD" w:rsidRPr="00AA5288">
        <w:rPr>
          <w:rFonts w:ascii="Arial" w:hAnsi="Arial" w:cs="Arial"/>
          <w:b/>
          <w:noProof w:val="0"/>
          <w:color w:val="000000"/>
          <w:kern w:val="16"/>
          <w:sz w:val="20"/>
          <w:szCs w:val="20"/>
        </w:rPr>
        <w:t>Kurul Karar Organının i-SPK.4632 s.kn.17.3.ğ (23.11.2018 tarihli ve 58/1355 s.k.) sayılı İlke Kararı:</w:t>
      </w:r>
      <w:bookmarkStart w:id="4" w:name="_GoBack"/>
      <w:bookmarkEnd w:id="4"/>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Kurul’un 23.11.2018 tarih ve 58/1355 sayılı toplantısında, Kurulumuzun i-SPK.4632 s.kn.17.3 (03.03.2016 tarih ve 7/223 s.k.) sayılı İlke Kararı olarak kabul edilmiş olan “Emeklilik Yatırım Fonlarına İlişkin Rehber”in;</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“1. Fon Türleri” başlıklı maddesinin (J) bendinin aşağıdaki şekilde değiştirilmesine ve anılan maddeye (L) ve (M) bentleri olarak aşağıdaki hükümlerin eklenmesine,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“J. Standart Fon: Bakanlık düzenlemeleri uyarınca, sisteme giriş aşamasında herhangi bir fon tercihinde bulunmayan katılımcıların birikimlerinin yatırıma yönlendirildiği fondur.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Başlangıç Fonu: İşverenleri aracılığıyla Kanun’un Ek-2 nci ve Geçici 2 nci maddesi kapsamında bireysel emeklilik sistemine dahil edilen çalışanların birikimlerinin Bakanlık düzenlemeleri uyarınca yatırıma yönlendirildiği fon5.2dur.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OKS Standart Fon: İşverenleri aracılığıyla Kanun’un Ek-2 nci ve Geçici 2 nci maddesi kapsamında bireysel emeklilik sistemine dahil edilen çalışanların birikimlerinin Bakanlık düzenlemeleri uyarınca yatırıma yönlendirildiği standart fondur.”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“1.2. Fon Unvanına İlişkin Esaslar” başlıklı maddesinin (k) bendinin aşağıdaki şekilde değiştirilmesine,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“k) Katılım bankacılığı prensiplerine uygun varlıklardan oluşan fonların unvanında, fon türünün yanı sıra “Katılım” ibaresine de yer verilir.”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3.6. nolu madde olarak aşağıdaki ifadelerin eklenmesine,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“3.6. Standart Fonlara İlişkin Esaslar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“Standart fon olarak tanımlanan fon portföyünün;</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Asgari yüzde altmışı, Bakanlıkça ihraç edilen Türk Lirası cinsinden borçlanma araçlarında, gelir ortaklığı senetlerinde veya kira sertifikalarında,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Azami yüzde kırkı;</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Türk Lirası cinsinden ve Borsada işlem görmesi kaydıyla bankalar veya yatırım yapılabilir seviyede derecelendirme notuna sahip olan diğer ihraççılar tarafından ihraç edilen borçlanma araçlarında,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Türk Lirası cinsinden Borsada işlem görmesi kaydıyla fon kullanıcısı bankalar olan veya kendisi veya fon kullanıcısı yatırım yapılabilir seviyede derecelendirme notuna sahip olan kira sertifikalarında,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İpotek ve varlık teminatlı menkul kıymetlerde, ipoteğe ve varlığa dayalı menkul kıymetlerde, vaad sözleşmelerinde,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Azami yüzde otuzu BIST 100, BIST Sürdürülebilirlik Endeksi ve Borsa İstanbul A.Ş. tarafından hesaplanan katılım endekslerindeki paylarda,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Azami yüzde yirmi beşi Türk Lirası cinsinden vadeli mevduatta, katılma hesabında,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Azami yüzde ikisi ters repoda ve Takasbank Para Piyasası ve Yurtiçi Organize Para Piyasası İşlemlerinde yatırıma yönlendirilir.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Bakanlıkça yapılanlar hariç, tek bir ihraççı tarafından ihraç edilen borçlanma araçlarına ve kira sertifikalarına fon portföyünün yüzde onundan fazlası yatırılamaz.</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Standart fonların portföyüne sadece bu maddede belirtilen varlık ve işlemler dahil edilebilir. Yönetmelik’te ve Rehber’de yer alan ve bu maddede belirtilmeyen diğer portföy sınırlamalarına ilişkin hükümler saklıdır.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Yeni kurulacak bir fonun yahut mevcut kurulmuş fonlardan birinin, yatırım stratejisinin bu maddede belirtilen portföy sınırlamalarına uyması kaydıyla, standart fon olarak belirlenmesi mümkündür.”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3.7. nolu madde olarak aşağıdaki ifadelerin eklenmesine,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“3.7. İşverenleri Aracılığıyla Kanun’un Ek-2 nci ve Geçici 2 nci Maddesi Kapsamında Bireysel Emeklilik Sistemine Dahil Edilen Çalışanlara Sunulan Fonlara İlişkin Esaslar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Başlangıç Fonlarına İlişkin Esaslar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 xml:space="preserve">Başlangıç fonu portföyünün en az yüzde altmışı, Türk Lirası cinsinden mevduat ve/veya katılma </w:t>
      </w:r>
      <w:r w:rsidRPr="00AA5288">
        <w:rPr>
          <w:rFonts w:ascii="Arial" w:hAnsi="Arial" w:cs="Arial"/>
          <w:noProof w:val="0"/>
          <w:color w:val="000000"/>
          <w:kern w:val="16"/>
          <w:sz w:val="20"/>
          <w:szCs w:val="20"/>
        </w:rPr>
        <w:lastRenderedPageBreak/>
        <w:t>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Başlangıç fonlarının portföyüne sadece bu maddede belirtilen varlık ve işlemler dahil edilebilir. Yönetmelik’te ve Rehber’de yer alan ve bu maddede belirtilmeyen diğer portföy sınırlamalarına ilişkin hükümler saklıdır.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OKS Standart Fonlara İlişkin Esaslar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OKS Standart Fon portföyünün;</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Asgari yüzde ellisi; Bakanlıkça ihraç edilen Türk Lirası cinsinden borçlanma araçlarında, gelir ortaklığı senetlerinde veya kira sertifikalarında yatırıma yönlendirilir.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Asgari yüzde onu;</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Girişim sermayesi yatırım fonu katılma paylarında,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Gayrimenkul yatırım fonu katılma paylarında,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Türkiye Varlık Fonu’nda ve/veya altyapı projelerine yatırım amacıyla kurulmuş şirketlerin ihraç ettiği sermaye piyasası araçlarında,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Kurulca uygun görülen diğer sermaye piyasası araçlarında yatırıma yönlendirilir.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Azami yüzde otuzu;</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Ters repoda, Takasbank ve/veya yurt içi organize para piyasası işlemlerinde,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Türk Lirası cinsinden ve borsada işlem görmesi kaydıyla fon kullanıcısı bankalar olan veya kendisi veya fon kullanıcısı yatırım yapılabilir seviyede derecelendirme notuna sahip olan kira sertifikalarında,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BIST 100, BIST Sürdürülebilirlik Endeksi ve Borsa İstanbul A.Ş. tarafından hesaplanan katılım endekslerindeki paylarda,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Altın ve diğer kıymetli madenler ile bunlara dayalı sermaye piyasası araçlarında,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Yatırım fonu/borsa yatırım fonu katılma paylarında, yatırım ortaklığı paylarında,</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İpotek ve varlık teminatlı menkul kıymetlerde, ipoteğe ve varlığa dayalı menkul kıymetlerde, aracı kuruluş ve ortaklık varantlarında, vaad sözleşmelerinde,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Kurulca uygun bulunan diğer yatırım araçlarında yatırıma yönlendirilir.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Ters repo ve Takasbank ve/veya yurtiçi organize para piyasası işlemlerinde değerlendirilecek tutar fon portföyünün yüzde ikisini aşamaz.</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 xml:space="preserve">OKS standart fonların portföyüne sadece bu maddede belirtilen varlık ve işlemler dahil edilebilir. Yönetmelik’te ve Rehber’de yer alan ve bu maddede belirtilmeyen diğer portföy sınırlamalarına </w:t>
      </w:r>
      <w:r w:rsidRPr="00AA5288">
        <w:rPr>
          <w:rFonts w:ascii="Arial" w:hAnsi="Arial" w:cs="Arial"/>
          <w:noProof w:val="0"/>
          <w:color w:val="000000"/>
          <w:kern w:val="16"/>
          <w:sz w:val="20"/>
          <w:szCs w:val="20"/>
        </w:rPr>
        <w:lastRenderedPageBreak/>
        <w:t>ilişkin hükümler saklıdır.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5.2. Nemalandırma başlıklı maddesine (e) bendi olarak aşağıdaki hükmün eklenmesine</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“e) Otomatik katılım sisteminde sunulan faiz içeren değişken fonlar ile standart fonların pay alım talimatlarının gerçekleştirilmesi işlemleri sırasında tahsil edilen tutarların başlangıç fonlarında nemalandırılması esastır.”</w:t>
      </w:r>
    </w:p>
    <w:p w:rsidR="00A94ACD" w:rsidRPr="00AA5288" w:rsidRDefault="00A94ACD" w:rsidP="00AA5288">
      <w:pPr>
        <w:widowControl w:val="0"/>
        <w:spacing w:after="0" w:line="276" w:lineRule="auto"/>
        <w:ind w:left="170" w:right="170"/>
        <w:jc w:val="both"/>
        <w:rPr>
          <w:rFonts w:ascii="Arial" w:hAnsi="Arial" w:cs="Arial"/>
          <w:noProof w:val="0"/>
          <w:color w:val="000000"/>
          <w:kern w:val="16"/>
          <w:sz w:val="20"/>
          <w:szCs w:val="20"/>
        </w:rPr>
      </w:pPr>
      <w:r w:rsidRPr="00AA5288">
        <w:rPr>
          <w:rFonts w:ascii="Arial" w:hAnsi="Arial" w:cs="Arial"/>
          <w:noProof w:val="0"/>
          <w:color w:val="000000"/>
          <w:kern w:val="16"/>
          <w:sz w:val="20"/>
          <w:szCs w:val="20"/>
        </w:rPr>
        <w:t xml:space="preserve">karar verilmiştir. </w:t>
      </w:r>
    </w:p>
    <w:p w:rsidR="00596871" w:rsidRPr="00A94ACD" w:rsidRDefault="00596871" w:rsidP="00A94ACD">
      <w:pPr>
        <w:jc w:val="both"/>
      </w:pPr>
    </w:p>
    <w:sectPr w:rsidR="00596871" w:rsidRPr="00A94A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ACD" w:rsidRDefault="00A94ACD" w:rsidP="00A94ACD">
      <w:pPr>
        <w:spacing w:after="0" w:line="240" w:lineRule="auto"/>
      </w:pPr>
      <w:r>
        <w:separator/>
      </w:r>
    </w:p>
  </w:endnote>
  <w:endnote w:type="continuationSeparator" w:id="0">
    <w:p w:rsidR="00A94ACD" w:rsidRDefault="00A94ACD" w:rsidP="00A9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CD" w:rsidRPr="00AA5288" w:rsidRDefault="00AA5288" w:rsidP="00AA5288">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CD" w:rsidRPr="00AA5288" w:rsidRDefault="00AA5288" w:rsidP="00AA5288">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CD" w:rsidRPr="00AA5288" w:rsidRDefault="00AA5288" w:rsidP="00AA5288">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ACD" w:rsidRDefault="00A94ACD" w:rsidP="00A94ACD">
      <w:pPr>
        <w:spacing w:after="0" w:line="240" w:lineRule="auto"/>
      </w:pPr>
      <w:r>
        <w:separator/>
      </w:r>
    </w:p>
  </w:footnote>
  <w:footnote w:type="continuationSeparator" w:id="0">
    <w:p w:rsidR="00A94ACD" w:rsidRDefault="00A94ACD" w:rsidP="00A94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CD" w:rsidRDefault="00A94A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CD" w:rsidRDefault="00A94AC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ACD" w:rsidRDefault="00A94A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692984"/>
    <w:multiLevelType w:val="hybridMultilevel"/>
    <w:tmpl w:val="F55A4492"/>
    <w:lvl w:ilvl="0" w:tplc="04489D34">
      <w:start w:val="1"/>
      <w:numFmt w:val="upperLetter"/>
      <w:lvlText w:val="%1."/>
      <w:lvlJc w:val="left"/>
      <w:pPr>
        <w:ind w:left="964" w:hanging="286"/>
      </w:pPr>
      <w:rPr>
        <w:rFonts w:ascii="Arial" w:eastAsia="Arial" w:hAnsi="Arial" w:cs="Arial" w:hint="default"/>
        <w:b/>
        <w:bCs/>
        <w:color w:val="FF0000"/>
        <w:spacing w:val="-45"/>
        <w:w w:val="100"/>
        <w:sz w:val="18"/>
        <w:szCs w:val="18"/>
        <w:lang w:val="tr-TR" w:eastAsia="tr-TR" w:bidi="tr-TR"/>
      </w:rPr>
    </w:lvl>
    <w:lvl w:ilvl="1" w:tplc="6ACEC662">
      <w:start w:val="1"/>
      <w:numFmt w:val="decimal"/>
      <w:lvlText w:val="%2."/>
      <w:lvlJc w:val="left"/>
      <w:pPr>
        <w:ind w:left="964" w:hanging="286"/>
      </w:pPr>
      <w:rPr>
        <w:rFonts w:ascii="Arial" w:eastAsia="Arial" w:hAnsi="Arial" w:cs="Arial" w:hint="default"/>
        <w:b/>
        <w:bCs/>
        <w:color w:val="1F487C"/>
        <w:spacing w:val="-16"/>
        <w:w w:val="100"/>
        <w:sz w:val="18"/>
        <w:szCs w:val="18"/>
        <w:lang w:val="tr-TR" w:eastAsia="tr-TR" w:bidi="tr-TR"/>
      </w:rPr>
    </w:lvl>
    <w:lvl w:ilvl="2" w:tplc="3B604634">
      <w:numFmt w:val="bullet"/>
      <w:lvlText w:val="•"/>
      <w:lvlJc w:val="left"/>
      <w:pPr>
        <w:ind w:left="2014" w:hanging="286"/>
      </w:pPr>
      <w:rPr>
        <w:rFonts w:hint="default"/>
        <w:lang w:val="tr-TR" w:eastAsia="tr-TR" w:bidi="tr-TR"/>
      </w:rPr>
    </w:lvl>
    <w:lvl w:ilvl="3" w:tplc="8C2842CE">
      <w:numFmt w:val="bullet"/>
      <w:lvlText w:val="•"/>
      <w:lvlJc w:val="left"/>
      <w:pPr>
        <w:ind w:left="3068" w:hanging="286"/>
      </w:pPr>
      <w:rPr>
        <w:rFonts w:hint="default"/>
        <w:lang w:val="tr-TR" w:eastAsia="tr-TR" w:bidi="tr-TR"/>
      </w:rPr>
    </w:lvl>
    <w:lvl w:ilvl="4" w:tplc="6C6CFAEC">
      <w:numFmt w:val="bullet"/>
      <w:lvlText w:val="•"/>
      <w:lvlJc w:val="left"/>
      <w:pPr>
        <w:ind w:left="4122" w:hanging="286"/>
      </w:pPr>
      <w:rPr>
        <w:rFonts w:hint="default"/>
        <w:lang w:val="tr-TR" w:eastAsia="tr-TR" w:bidi="tr-TR"/>
      </w:rPr>
    </w:lvl>
    <w:lvl w:ilvl="5" w:tplc="FC640A34">
      <w:numFmt w:val="bullet"/>
      <w:lvlText w:val="•"/>
      <w:lvlJc w:val="left"/>
      <w:pPr>
        <w:ind w:left="5176" w:hanging="286"/>
      </w:pPr>
      <w:rPr>
        <w:rFonts w:hint="default"/>
        <w:lang w:val="tr-TR" w:eastAsia="tr-TR" w:bidi="tr-TR"/>
      </w:rPr>
    </w:lvl>
    <w:lvl w:ilvl="6" w:tplc="D320239A">
      <w:numFmt w:val="bullet"/>
      <w:lvlText w:val="•"/>
      <w:lvlJc w:val="left"/>
      <w:pPr>
        <w:ind w:left="6230" w:hanging="286"/>
      </w:pPr>
      <w:rPr>
        <w:rFonts w:hint="default"/>
        <w:lang w:val="tr-TR" w:eastAsia="tr-TR" w:bidi="tr-TR"/>
      </w:rPr>
    </w:lvl>
    <w:lvl w:ilvl="7" w:tplc="4D1CB38A">
      <w:numFmt w:val="bullet"/>
      <w:lvlText w:val="•"/>
      <w:lvlJc w:val="left"/>
      <w:pPr>
        <w:ind w:left="7284" w:hanging="286"/>
      </w:pPr>
      <w:rPr>
        <w:rFonts w:hint="default"/>
        <w:lang w:val="tr-TR" w:eastAsia="tr-TR" w:bidi="tr-TR"/>
      </w:rPr>
    </w:lvl>
    <w:lvl w:ilvl="8" w:tplc="48F69396">
      <w:numFmt w:val="bullet"/>
      <w:lvlText w:val="•"/>
      <w:lvlJc w:val="left"/>
      <w:pPr>
        <w:ind w:left="8338" w:hanging="286"/>
      </w:pPr>
      <w:rPr>
        <w:rFonts w:hint="default"/>
        <w:lang w:val="tr-TR" w:eastAsia="tr-TR" w:bidi="tr-TR"/>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CD"/>
    <w:rsid w:val="00596871"/>
    <w:rsid w:val="00A94ACD"/>
    <w:rsid w:val="00AA5288"/>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2030F"/>
  <w15:chartTrackingRefBased/>
  <w15:docId w15:val="{7039F2D8-D109-42C4-942C-0BC52166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ACD"/>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A94A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ACD"/>
    <w:rPr>
      <w:noProof/>
    </w:rPr>
  </w:style>
  <w:style w:type="paragraph" w:styleId="AltBilgi">
    <w:name w:val="footer"/>
    <w:basedOn w:val="Normal"/>
    <w:link w:val="AltBilgiChar"/>
    <w:uiPriority w:val="99"/>
    <w:unhideWhenUsed/>
    <w:rsid w:val="00A94A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ACD"/>
    <w:rPr>
      <w:noProof/>
    </w:rPr>
  </w:style>
  <w:style w:type="character" w:styleId="AklamaBavurusu">
    <w:name w:val="annotation reference"/>
    <w:basedOn w:val="VarsaylanParagrafYazTipi"/>
    <w:uiPriority w:val="99"/>
    <w:rsid w:val="00A94ACD"/>
    <w:rPr>
      <w:sz w:val="16"/>
      <w:szCs w:val="16"/>
    </w:rPr>
  </w:style>
  <w:style w:type="paragraph" w:styleId="BalonMetni">
    <w:name w:val="Balloon Text"/>
    <w:basedOn w:val="Normal"/>
    <w:link w:val="BalonMetniChar"/>
    <w:uiPriority w:val="99"/>
    <w:semiHidden/>
    <w:unhideWhenUsed/>
    <w:rsid w:val="00A94A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4AC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9E979CD-861A-4011-8871-E12353BEE6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2022-12-09T14:13:00Z</dcterms:created>
  <dcterms:modified xsi:type="dcterms:W3CDTF">2023-02-22T09:15:00Z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98dbc1f9-6d9d-43bd-aece-0d1059d766cb</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