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C2" w:rsidRPr="009B0F8A" w:rsidRDefault="000010C2" w:rsidP="009B0F8A">
      <w:pPr>
        <w:pStyle w:val="Default"/>
        <w:spacing w:line="276" w:lineRule="auto"/>
        <w:ind w:firstLine="708"/>
        <w:jc w:val="center"/>
        <w:rPr>
          <w:rFonts w:ascii="Arial" w:hAnsi="Arial" w:cs="Arial"/>
          <w:noProof/>
          <w:color w:val="auto"/>
        </w:rPr>
      </w:pPr>
    </w:p>
    <w:p w:rsidR="000010C2" w:rsidRPr="009B0F8A" w:rsidRDefault="000010C2" w:rsidP="009B0F8A">
      <w:pPr>
        <w:pStyle w:val="Balk2"/>
        <w:jc w:val="center"/>
        <w:rPr>
          <w:rFonts w:ascii="Arial" w:hAnsi="Arial" w:cs="Arial"/>
          <w:sz w:val="24"/>
          <w:szCs w:val="24"/>
        </w:rPr>
      </w:pPr>
      <w:bookmarkStart w:id="0" w:name="_Toc116026648"/>
      <w:r w:rsidRPr="009B0F8A">
        <w:rPr>
          <w:rFonts w:ascii="Arial" w:hAnsi="Arial" w:cs="Arial"/>
          <w:sz w:val="24"/>
          <w:szCs w:val="24"/>
        </w:rPr>
        <w:t>SERMAYE PİYASASI KURULUNUN 30.05.2019 TARİHLİ VE 32/756 S.K. SAYILI İLKE KARARI</w:t>
      </w:r>
      <w:bookmarkEnd w:id="0"/>
    </w:p>
    <w:p w:rsidR="000010C2" w:rsidRDefault="000010C2" w:rsidP="009B0F8A">
      <w:pPr>
        <w:spacing w:after="0"/>
        <w:jc w:val="both"/>
        <w:rPr>
          <w:lang w:eastAsia="tr-TR"/>
        </w:rPr>
      </w:pPr>
    </w:p>
    <w:p w:rsidR="009B0F8A" w:rsidRPr="00C665C3" w:rsidRDefault="009B0F8A" w:rsidP="009B0F8A">
      <w:pPr>
        <w:spacing w:after="0"/>
        <w:jc w:val="both"/>
        <w:rPr>
          <w:lang w:eastAsia="tr-TR"/>
        </w:rPr>
      </w:pP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Kurulumuzun i-SPK.4632 s.kn.17.3 (03.03.2016 tarih ve 7/223 s.k.) sayılı İlke Kararı olarak kabul edilen “Emeklilik Yatırım Fonlarına İlişkin Rehber”in; “10. Diğer Esaslar” başlıklı bölümüne “10.4. Emeklilik Yatırım Fonlarının Getiri Performansının Ölçülmesi, Değerlendirilmesi ve Portföy Yöneticilerine Uygulanacak Teşvik ve Tedbire İlişkin Usul ve Esaslar” maddesi olarak aşağıdaki maddenin eklenmesine karar verilmiştir.</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bookmarkStart w:id="1" w:name="_Toc10205166"/>
      <w:bookmarkStart w:id="2" w:name="_Toc11337099"/>
      <w:bookmarkStart w:id="3" w:name="_Toc11337427"/>
      <w:bookmarkStart w:id="4" w:name="_Toc12633882"/>
      <w:bookmarkStart w:id="5" w:name="_Toc14269365"/>
      <w:r w:rsidRPr="009B0F8A">
        <w:rPr>
          <w:rFonts w:ascii="Arial" w:hAnsi="Arial" w:cs="Arial"/>
          <w:noProof w:val="0"/>
          <w:color w:val="000000"/>
          <w:kern w:val="16"/>
          <w:sz w:val="20"/>
          <w:szCs w:val="20"/>
        </w:rPr>
        <w:t>Emeklilik Yatırım Fonlarının Getiri Performansının Ölçülmesi, Değerlendirilmesi ve Portföy Yöneticilerine Uygulanacak Teşvik ve Tedbire İlişkin Usul ve Esaslar</w:t>
      </w:r>
      <w:bookmarkEnd w:id="1"/>
      <w:bookmarkEnd w:id="2"/>
      <w:bookmarkEnd w:id="3"/>
      <w:bookmarkEnd w:id="4"/>
      <w:bookmarkEnd w:id="5"/>
      <w:r w:rsidRPr="009B0F8A">
        <w:rPr>
          <w:rFonts w:ascii="Arial" w:hAnsi="Arial" w:cs="Arial"/>
          <w:noProof w:val="0"/>
          <w:color w:val="000000"/>
          <w:kern w:val="16"/>
          <w:sz w:val="20"/>
          <w:szCs w:val="20"/>
        </w:rPr>
        <w:t xml:space="preserve"> </w:t>
      </w:r>
    </w:p>
    <w:p w:rsidR="000010C2" w:rsidRPr="00C665C3" w:rsidRDefault="000010C2" w:rsidP="000010C2">
      <w:pPr>
        <w:pStyle w:val="AralkYok"/>
        <w:jc w:val="both"/>
      </w:pP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A) Fon Gruplarının Oluşturulması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i)</w:t>
      </w:r>
      <w:r w:rsidRPr="009B0F8A">
        <w:rPr>
          <w:rFonts w:ascii="Arial" w:hAnsi="Arial" w:cs="Arial"/>
          <w:noProof w:val="0"/>
          <w:color w:val="000000"/>
          <w:kern w:val="16"/>
          <w:sz w:val="20"/>
          <w:szCs w:val="20"/>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 xml:space="preserve">3) Fon grupları BES ve OKS ayrımı gözetilmeksizin oluşturulur.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 xml:space="preserve">5) Katılım esasına uygun olarak yönetilen ve türü aynı olan fonlardan grup oluşturulabilir. (Katılım katkı fonu, katılım standart fon, katılım kira sertifikaları fonu, katılım hisse senedi fonu gibi).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ii)</w:t>
      </w:r>
      <w:r w:rsidRPr="009B0F8A">
        <w:rPr>
          <w:rFonts w:ascii="Arial" w:hAnsi="Arial" w:cs="Arial"/>
          <w:noProof w:val="0"/>
          <w:color w:val="000000"/>
          <w:kern w:val="16"/>
          <w:sz w:val="20"/>
          <w:szCs w:val="20"/>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iii)</w:t>
      </w:r>
      <w:r w:rsidRPr="009B0F8A">
        <w:rPr>
          <w:rFonts w:ascii="Arial" w:hAnsi="Arial" w:cs="Arial"/>
          <w:noProof w:val="0"/>
          <w:color w:val="000000"/>
          <w:kern w:val="16"/>
          <w:sz w:val="20"/>
          <w:szCs w:val="20"/>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lastRenderedPageBreak/>
        <w:t>iv)</w:t>
      </w:r>
      <w:r w:rsidRPr="009B0F8A">
        <w:rPr>
          <w:rFonts w:ascii="Arial" w:hAnsi="Arial" w:cs="Arial"/>
          <w:noProof w:val="0"/>
          <w:color w:val="000000"/>
          <w:kern w:val="16"/>
          <w:sz w:val="20"/>
          <w:szCs w:val="20"/>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v)</w:t>
      </w:r>
      <w:r w:rsidRPr="009B0F8A">
        <w:rPr>
          <w:rFonts w:ascii="Arial" w:hAnsi="Arial" w:cs="Arial"/>
          <w:noProof w:val="0"/>
          <w:color w:val="000000"/>
          <w:kern w:val="16"/>
          <w:sz w:val="20"/>
          <w:szCs w:val="20"/>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vi)</w:t>
      </w:r>
      <w:r w:rsidRPr="009B0F8A">
        <w:rPr>
          <w:rFonts w:ascii="Arial" w:hAnsi="Arial" w:cs="Arial"/>
          <w:noProof w:val="0"/>
          <w:color w:val="000000"/>
          <w:kern w:val="16"/>
          <w:sz w:val="20"/>
          <w:szCs w:val="20"/>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0010C2" w:rsidRPr="00C665C3" w:rsidRDefault="000010C2" w:rsidP="000010C2">
      <w:pPr>
        <w:pStyle w:val="AralkYok"/>
        <w:jc w:val="both"/>
      </w:pP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B) Fon Performanslarının Ölçülmesi </w:t>
      </w:r>
    </w:p>
    <w:p w:rsidR="000010C2" w:rsidRPr="009B0F8A" w:rsidRDefault="000010C2" w:rsidP="009B0F8A">
      <w:pPr>
        <w:pStyle w:val="AralkYok"/>
        <w:ind w:lef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i)</w:t>
      </w:r>
      <w:r w:rsidRPr="009B0F8A">
        <w:rPr>
          <w:rFonts w:ascii="Arial" w:hAnsi="Arial" w:cs="Arial"/>
          <w:noProof w:val="0"/>
          <w:color w:val="000000"/>
          <w:kern w:val="16"/>
          <w:sz w:val="20"/>
          <w:szCs w:val="20"/>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bu rasyolar da kullanılabilir ve söz konusu Komite kararı EGM tarafından kurumsal internet sitesinde ilan edilir. </w:t>
      </w:r>
    </w:p>
    <w:p w:rsidR="000010C2" w:rsidRPr="009B0F8A" w:rsidRDefault="000010C2" w:rsidP="009B0F8A">
      <w:pPr>
        <w:pStyle w:val="AralkYok"/>
        <w:ind w:firstLine="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ii)</w:t>
      </w:r>
      <w:r w:rsidRPr="009B0F8A">
        <w:rPr>
          <w:rFonts w:ascii="Arial" w:hAnsi="Arial" w:cs="Arial"/>
          <w:noProof w:val="0"/>
          <w:color w:val="000000"/>
          <w:kern w:val="16"/>
          <w:sz w:val="20"/>
          <w:szCs w:val="20"/>
        </w:rPr>
        <w:t xml:space="preserve"> (i) bendi kapsamında belirlenen yöntem baz alınarak; </w:t>
      </w:r>
    </w:p>
    <w:p w:rsidR="000010C2" w:rsidRPr="009B0F8A" w:rsidRDefault="000010C2" w:rsidP="009B0F8A">
      <w:pPr>
        <w:pStyle w:val="AralkYok"/>
        <w:ind w:lef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1)</w:t>
      </w:r>
      <w:r w:rsidRPr="009B0F8A">
        <w:rPr>
          <w:rFonts w:ascii="Arial" w:hAnsi="Arial" w:cs="Arial"/>
          <w:noProof w:val="0"/>
          <w:color w:val="000000"/>
          <w:kern w:val="16"/>
          <w:sz w:val="20"/>
          <w:szCs w:val="20"/>
        </w:rPr>
        <w:tab/>
        <w:t xml:space="preserve">Her yılın sonunda kıyas grubunda yer alan tüm fonların her biri için yıllık getiri oranı/rasyosu hesaplanır. </w:t>
      </w:r>
    </w:p>
    <w:p w:rsidR="000010C2" w:rsidRPr="009B0F8A" w:rsidRDefault="000010C2" w:rsidP="009B0F8A">
      <w:pPr>
        <w:pStyle w:val="AralkYok"/>
        <w:ind w:firstLine="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 xml:space="preserve">2) </w:t>
      </w:r>
      <w:r w:rsidRPr="009B0F8A">
        <w:rPr>
          <w:rFonts w:ascii="Arial" w:hAnsi="Arial" w:cs="Arial"/>
          <w:noProof w:val="0"/>
          <w:color w:val="000000"/>
          <w:kern w:val="16"/>
          <w:sz w:val="20"/>
          <w:szCs w:val="20"/>
        </w:rPr>
        <w:tab/>
        <w:t xml:space="preserve">Her fon grubu için basit ortalama getiri oranı/rasyo değeri ile standart sapması hesaplanır. </w:t>
      </w:r>
    </w:p>
    <w:p w:rsidR="000010C2" w:rsidRPr="009B0F8A" w:rsidRDefault="000010C2" w:rsidP="009B0F8A">
      <w:pPr>
        <w:pStyle w:val="AralkYok"/>
        <w:ind w:lef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3)</w:t>
      </w:r>
      <w:r w:rsidRPr="009B0F8A">
        <w:rPr>
          <w:rFonts w:ascii="Arial" w:hAnsi="Arial" w:cs="Arial"/>
          <w:noProof w:val="0"/>
          <w:color w:val="000000"/>
          <w:kern w:val="16"/>
          <w:sz w:val="20"/>
          <w:szCs w:val="20"/>
        </w:rPr>
        <w:tab/>
        <w:t xml:space="preserve">“Basit ortalama getiri oranı/rasyo değeri-1 standart sapma” değeri eşik olarak kabul edilir ve ilgili yılda, getiri oranı/rasyosu eşiğin altında kalan fonların performansı yetersiz kabul edilir. </w:t>
      </w:r>
    </w:p>
    <w:p w:rsidR="000010C2" w:rsidRPr="009B0F8A" w:rsidRDefault="000010C2" w:rsidP="009B0F8A">
      <w:pPr>
        <w:pStyle w:val="AralkYok"/>
        <w:ind w:lef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 xml:space="preserve">4) </w:t>
      </w:r>
      <w:r w:rsidRPr="009B0F8A">
        <w:rPr>
          <w:rFonts w:ascii="Arial" w:hAnsi="Arial" w:cs="Arial"/>
          <w:noProof w:val="0"/>
          <w:color w:val="000000"/>
          <w:kern w:val="16"/>
          <w:sz w:val="20"/>
          <w:szCs w:val="20"/>
        </w:rPr>
        <w:tab/>
        <w:t xml:space="preserve">“Basit ortalama getiri oranı/rasyo değeri+1 standart sapma” değeri üzerinde performans gösteren fonlar ise başarılı kabul edilir. </w:t>
      </w:r>
    </w:p>
    <w:p w:rsidR="000010C2" w:rsidRPr="009B0F8A" w:rsidRDefault="000010C2" w:rsidP="009B0F8A">
      <w:pPr>
        <w:pStyle w:val="AralkYok"/>
        <w:ind w:lef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iii)</w:t>
      </w:r>
      <w:r w:rsidRPr="009B0F8A">
        <w:rPr>
          <w:rFonts w:ascii="Arial" w:hAnsi="Arial" w:cs="Arial"/>
          <w:noProof w:val="0"/>
          <w:color w:val="000000"/>
          <w:kern w:val="16"/>
          <w:sz w:val="20"/>
          <w:szCs w:val="20"/>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0010C2" w:rsidRPr="00C665C3" w:rsidRDefault="000010C2" w:rsidP="000010C2">
      <w:pPr>
        <w:pStyle w:val="AralkYok"/>
        <w:jc w:val="both"/>
      </w:pP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C) Uygulanacak Tedbir </w:t>
      </w: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i) </w:t>
      </w:r>
      <w:r w:rsidRPr="009B0F8A">
        <w:rPr>
          <w:rFonts w:ascii="Arial" w:hAnsi="Arial" w:cs="Arial"/>
          <w:noProof w:val="0"/>
          <w:color w:val="000000"/>
          <w:kern w:val="16"/>
          <w:sz w:val="20"/>
          <w:szCs w:val="20"/>
        </w:rPr>
        <w:t>Yılsonunu takip eden 15 iş günü içinde EGM tarafından (B) bölümünde belirtilen yönteme göre gerekli analizler yapılarak raporlar oluşturulur.</w:t>
      </w:r>
      <w:r w:rsidRPr="009B0F8A">
        <w:rPr>
          <w:rFonts w:ascii="Arial" w:hAnsi="Arial" w:cs="Arial"/>
          <w:b/>
          <w:noProof w:val="0"/>
          <w:color w:val="000000"/>
          <w:kern w:val="16"/>
          <w:sz w:val="20"/>
          <w:szCs w:val="20"/>
        </w:rPr>
        <w:t xml:space="preserve"> </w:t>
      </w: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ii) </w:t>
      </w:r>
      <w:r w:rsidRPr="009B0F8A">
        <w:rPr>
          <w:rFonts w:ascii="Arial" w:hAnsi="Arial" w:cs="Arial"/>
          <w:noProof w:val="0"/>
          <w:color w:val="000000"/>
          <w:kern w:val="16"/>
          <w:sz w:val="20"/>
          <w:szCs w:val="20"/>
        </w:rPr>
        <w:t>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w:t>
      </w:r>
      <w:r w:rsidRPr="009B0F8A">
        <w:rPr>
          <w:rFonts w:ascii="Arial" w:hAnsi="Arial" w:cs="Arial"/>
          <w:b/>
          <w:noProof w:val="0"/>
          <w:color w:val="000000"/>
          <w:kern w:val="16"/>
          <w:sz w:val="20"/>
          <w:szCs w:val="20"/>
        </w:rPr>
        <w:t xml:space="preserve"> </w:t>
      </w: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iii) </w:t>
      </w:r>
      <w:r w:rsidRPr="009B0F8A">
        <w:rPr>
          <w:rFonts w:ascii="Arial" w:hAnsi="Arial" w:cs="Arial"/>
          <w:noProof w:val="0"/>
          <w:color w:val="000000"/>
          <w:kern w:val="16"/>
          <w:sz w:val="20"/>
          <w:szCs w:val="20"/>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0010C2" w:rsidRPr="00C665C3" w:rsidRDefault="000010C2" w:rsidP="000010C2">
      <w:pPr>
        <w:pStyle w:val="AralkYok"/>
        <w:jc w:val="both"/>
      </w:pP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D) Uygulanacak Teşvik </w:t>
      </w: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i) </w:t>
      </w:r>
      <w:r w:rsidRPr="009B0F8A">
        <w:rPr>
          <w:rFonts w:ascii="Arial" w:hAnsi="Arial" w:cs="Arial"/>
          <w:noProof w:val="0"/>
          <w:color w:val="000000"/>
          <w:kern w:val="16"/>
          <w:sz w:val="20"/>
          <w:szCs w:val="20"/>
        </w:rPr>
        <w:t>Yılsonunu takip eden en geç 15 iş günü içinde EGM tarafından (B) bölümünde belirtilen yönteme göre gerekli analizler yapılarak raporlar oluşturulur.</w:t>
      </w:r>
      <w:r w:rsidRPr="009B0F8A">
        <w:rPr>
          <w:rFonts w:ascii="Arial" w:hAnsi="Arial" w:cs="Arial"/>
          <w:b/>
          <w:noProof w:val="0"/>
          <w:color w:val="000000"/>
          <w:kern w:val="16"/>
          <w:sz w:val="20"/>
          <w:szCs w:val="20"/>
        </w:rPr>
        <w:t xml:space="preserve"> </w:t>
      </w: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ii) </w:t>
      </w:r>
      <w:r w:rsidRPr="009B0F8A">
        <w:rPr>
          <w:rFonts w:ascii="Arial" w:hAnsi="Arial" w:cs="Arial"/>
          <w:noProof w:val="0"/>
          <w:color w:val="000000"/>
          <w:kern w:val="16"/>
          <w:sz w:val="20"/>
          <w:szCs w:val="20"/>
        </w:rPr>
        <w:t>(B-ii/4)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w:t>
      </w:r>
      <w:r w:rsidRPr="009B0F8A">
        <w:rPr>
          <w:rFonts w:ascii="Arial" w:hAnsi="Arial" w:cs="Arial"/>
          <w:b/>
          <w:noProof w:val="0"/>
          <w:color w:val="000000"/>
          <w:kern w:val="16"/>
          <w:sz w:val="20"/>
          <w:szCs w:val="20"/>
        </w:rPr>
        <w:t xml:space="preserve"> </w:t>
      </w: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iii) </w:t>
      </w:r>
      <w:r w:rsidRPr="009B0F8A">
        <w:rPr>
          <w:rFonts w:ascii="Arial" w:hAnsi="Arial" w:cs="Arial"/>
          <w:noProof w:val="0"/>
          <w:color w:val="000000"/>
          <w:kern w:val="16"/>
          <w:sz w:val="20"/>
          <w:szCs w:val="20"/>
        </w:rPr>
        <w:t>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w:t>
      </w:r>
      <w:r w:rsidRPr="009B0F8A">
        <w:rPr>
          <w:rFonts w:ascii="Arial" w:hAnsi="Arial" w:cs="Arial"/>
          <w:b/>
          <w:noProof w:val="0"/>
          <w:color w:val="000000"/>
          <w:kern w:val="16"/>
          <w:sz w:val="20"/>
          <w:szCs w:val="20"/>
        </w:rPr>
        <w:t xml:space="preserve"> </w:t>
      </w: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lastRenderedPageBreak/>
        <w:t xml:space="preserve">E) Diğer Hususlar </w:t>
      </w:r>
    </w:p>
    <w:p w:rsidR="000010C2" w:rsidRPr="009B0F8A" w:rsidRDefault="000010C2" w:rsidP="009B0F8A">
      <w:pPr>
        <w:widowControl w:val="0"/>
        <w:spacing w:after="0" w:line="276" w:lineRule="auto"/>
        <w:ind w:left="170" w:right="170"/>
        <w:jc w:val="both"/>
        <w:rPr>
          <w:rFonts w:ascii="Arial" w:hAnsi="Arial" w:cs="Arial"/>
          <w:b/>
          <w:noProof w:val="0"/>
          <w:color w:val="000000"/>
          <w:kern w:val="16"/>
          <w:sz w:val="20"/>
          <w:szCs w:val="20"/>
        </w:rPr>
      </w:pPr>
      <w:r w:rsidRPr="009B0F8A">
        <w:rPr>
          <w:rFonts w:ascii="Arial" w:hAnsi="Arial" w:cs="Arial"/>
          <w:b/>
          <w:noProof w:val="0"/>
          <w:color w:val="000000"/>
          <w:kern w:val="16"/>
          <w:sz w:val="20"/>
          <w:szCs w:val="20"/>
        </w:rPr>
        <w:t xml:space="preserve">i) </w:t>
      </w:r>
      <w:r w:rsidRPr="009B0F8A">
        <w:rPr>
          <w:rFonts w:ascii="Arial" w:hAnsi="Arial" w:cs="Arial"/>
          <w:noProof w:val="0"/>
          <w:color w:val="000000"/>
          <w:kern w:val="16"/>
          <w:sz w:val="20"/>
          <w:szCs w:val="20"/>
        </w:rPr>
        <w:t xml:space="preserve">Komite, EGM’nin 1, TSB ile TSPB’nin ise 3’er temsilcisi ile oluşturulur ve komite kararları oy çokluğu ile alınır. EGM temsilcisi Komite Başkanı’dır.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b/>
          <w:noProof w:val="0"/>
          <w:color w:val="000000"/>
          <w:kern w:val="16"/>
          <w:sz w:val="20"/>
          <w:szCs w:val="20"/>
        </w:rPr>
        <w:t xml:space="preserve">ii) </w:t>
      </w:r>
      <w:r w:rsidRPr="009B0F8A">
        <w:rPr>
          <w:rFonts w:ascii="Arial" w:hAnsi="Arial" w:cs="Arial"/>
          <w:noProof w:val="0"/>
          <w:color w:val="000000"/>
          <w:kern w:val="16"/>
          <w:sz w:val="20"/>
          <w:szCs w:val="20"/>
        </w:rPr>
        <w:t xml:space="preserve">İşbu esasların uygulanmasında;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a)</w:t>
      </w:r>
      <w:r w:rsidR="00FE687A">
        <w:rPr>
          <w:rFonts w:ascii="Arial" w:hAnsi="Arial" w:cs="Arial"/>
          <w:noProof w:val="0"/>
          <w:color w:val="000000"/>
          <w:kern w:val="16"/>
          <w:sz w:val="20"/>
          <w:szCs w:val="20"/>
        </w:rPr>
        <w:t xml:space="preserve"> </w:t>
      </w:r>
      <w:bookmarkStart w:id="6" w:name="_GoBack"/>
      <w:bookmarkEnd w:id="6"/>
      <w:r w:rsidRPr="009B0F8A">
        <w:rPr>
          <w:rFonts w:ascii="Arial" w:hAnsi="Arial" w:cs="Arial"/>
          <w:noProof w:val="0"/>
          <w:color w:val="000000"/>
          <w:kern w:val="16"/>
          <w:sz w:val="20"/>
          <w:szCs w:val="20"/>
        </w:rPr>
        <w:t xml:space="preserve">Fonun portföy yöneticisi olarak ilgili yılın son işgününde hizmet alınan portföy yönetim şirketi dikkate alınır.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 xml:space="preserve">b) 2020 yılı ilk performans hesaplama dönemi olarak kabul edilir. </w:t>
      </w:r>
    </w:p>
    <w:p w:rsidR="000010C2" w:rsidRPr="009B0F8A" w:rsidRDefault="000010C2" w:rsidP="009B0F8A">
      <w:pPr>
        <w:widowControl w:val="0"/>
        <w:spacing w:after="0" w:line="276" w:lineRule="auto"/>
        <w:ind w:left="170" w:right="170"/>
        <w:jc w:val="both"/>
        <w:rPr>
          <w:rFonts w:ascii="Arial" w:hAnsi="Arial" w:cs="Arial"/>
          <w:noProof w:val="0"/>
          <w:color w:val="000000"/>
          <w:kern w:val="16"/>
          <w:sz w:val="20"/>
          <w:szCs w:val="20"/>
        </w:rPr>
      </w:pPr>
      <w:r w:rsidRPr="009B0F8A">
        <w:rPr>
          <w:rFonts w:ascii="Arial" w:hAnsi="Arial" w:cs="Arial"/>
          <w:noProof w:val="0"/>
          <w:color w:val="000000"/>
          <w:kern w:val="16"/>
          <w:sz w:val="20"/>
          <w:szCs w:val="20"/>
        </w:rPr>
        <w:t>c) (C/iii) no.lu madde kapsamında performansı yetersiz kabul edilen ve portföy yönetim şirketi değiştirilen fon için, performansının yetersiz kabul edildiği son yılı takiben 2 yıl geçmeden değiştirilen portföy yönetim şirketinden tekrar hizmet alınamaz.”</w:t>
      </w:r>
    </w:p>
    <w:p w:rsidR="000010C2" w:rsidRPr="00C665C3" w:rsidRDefault="000010C2" w:rsidP="000010C2">
      <w:pPr>
        <w:jc w:val="both"/>
        <w:rPr>
          <w:rFonts w:ascii="Arial" w:hAnsi="Arial" w:cs="Arial"/>
          <w:iCs/>
          <w:sz w:val="20"/>
          <w:szCs w:val="20"/>
        </w:rPr>
      </w:pPr>
    </w:p>
    <w:p w:rsidR="000010C2" w:rsidRPr="0098089C" w:rsidRDefault="000010C2" w:rsidP="000010C2">
      <w:pPr>
        <w:jc w:val="both"/>
        <w:rPr>
          <w:rFonts w:ascii="Arial" w:hAnsi="Arial" w:cs="Arial"/>
          <w:iCs/>
          <w:sz w:val="20"/>
          <w:szCs w:val="20"/>
        </w:rPr>
      </w:pPr>
    </w:p>
    <w:p w:rsidR="000010C2" w:rsidRPr="00C665C3" w:rsidRDefault="000010C2" w:rsidP="000010C2">
      <w:pPr>
        <w:jc w:val="both"/>
        <w:rPr>
          <w:rFonts w:ascii="Arial" w:hAnsi="Arial" w:cs="Arial"/>
          <w:iCs/>
          <w:sz w:val="20"/>
          <w:szCs w:val="20"/>
        </w:rPr>
      </w:pPr>
    </w:p>
    <w:p w:rsidR="000010C2" w:rsidRPr="00C665C3" w:rsidRDefault="000010C2" w:rsidP="000010C2">
      <w:pPr>
        <w:jc w:val="both"/>
        <w:rPr>
          <w:rFonts w:ascii="Arial" w:hAnsi="Arial" w:cs="Arial"/>
          <w:iCs/>
          <w:sz w:val="20"/>
          <w:szCs w:val="20"/>
        </w:rPr>
      </w:pPr>
    </w:p>
    <w:p w:rsidR="000010C2" w:rsidRPr="00C665C3" w:rsidRDefault="000010C2" w:rsidP="000010C2">
      <w:pPr>
        <w:jc w:val="both"/>
        <w:rPr>
          <w:rFonts w:ascii="Arial" w:hAnsi="Arial" w:cs="Arial"/>
          <w:iCs/>
          <w:sz w:val="20"/>
          <w:szCs w:val="20"/>
        </w:rPr>
      </w:pPr>
    </w:p>
    <w:p w:rsidR="00596871" w:rsidRDefault="00596871" w:rsidP="000010C2">
      <w:pPr>
        <w:jc w:val="both"/>
      </w:pPr>
    </w:p>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0C2" w:rsidRDefault="000010C2" w:rsidP="000010C2">
      <w:pPr>
        <w:spacing w:after="0" w:line="240" w:lineRule="auto"/>
      </w:pPr>
      <w:r>
        <w:separator/>
      </w:r>
    </w:p>
  </w:endnote>
  <w:endnote w:type="continuationSeparator" w:id="0">
    <w:p w:rsidR="000010C2" w:rsidRDefault="000010C2" w:rsidP="0000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C2" w:rsidRPr="00FE687A" w:rsidRDefault="00FE687A" w:rsidP="00FE687A">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C2" w:rsidRPr="00FE687A" w:rsidRDefault="00FE687A" w:rsidP="00FE687A">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C2" w:rsidRPr="00FE687A" w:rsidRDefault="00FE687A" w:rsidP="00FE687A">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0C2" w:rsidRDefault="000010C2" w:rsidP="000010C2">
      <w:pPr>
        <w:spacing w:after="0" w:line="240" w:lineRule="auto"/>
      </w:pPr>
      <w:r>
        <w:separator/>
      </w:r>
    </w:p>
  </w:footnote>
  <w:footnote w:type="continuationSeparator" w:id="0">
    <w:p w:rsidR="000010C2" w:rsidRDefault="000010C2" w:rsidP="0000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C2" w:rsidRDefault="000010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C2" w:rsidRDefault="000010C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C2" w:rsidRDefault="000010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C2"/>
    <w:rsid w:val="000010C2"/>
    <w:rsid w:val="00596871"/>
    <w:rsid w:val="009B0F8A"/>
    <w:rsid w:val="00B35A07"/>
    <w:rsid w:val="00EF6748"/>
    <w:rsid w:val="00F70C11"/>
    <w:rsid w:val="00FE6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5BFE9"/>
  <w15:chartTrackingRefBased/>
  <w15:docId w15:val="{DA79B7D5-4B81-480E-8109-04EBFD40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0C2"/>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aliases w:val="Mavili"/>
    <w:basedOn w:val="Normal"/>
    <w:link w:val="AralkYokChar"/>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0010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10C2"/>
    <w:rPr>
      <w:noProof/>
    </w:rPr>
  </w:style>
  <w:style w:type="paragraph" w:styleId="AltBilgi">
    <w:name w:val="footer"/>
    <w:basedOn w:val="Normal"/>
    <w:link w:val="AltBilgiChar"/>
    <w:uiPriority w:val="99"/>
    <w:unhideWhenUsed/>
    <w:rsid w:val="000010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10C2"/>
    <w:rPr>
      <w:noProof/>
    </w:rPr>
  </w:style>
  <w:style w:type="character" w:styleId="AklamaBavurusu">
    <w:name w:val="annotation reference"/>
    <w:basedOn w:val="VarsaylanParagrafYazTipi"/>
    <w:uiPriority w:val="99"/>
    <w:rsid w:val="000010C2"/>
    <w:rPr>
      <w:sz w:val="16"/>
      <w:szCs w:val="16"/>
    </w:rPr>
  </w:style>
  <w:style w:type="paragraph" w:customStyle="1" w:styleId="Default">
    <w:name w:val="Default"/>
    <w:rsid w:val="000010C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character" w:customStyle="1" w:styleId="AralkYokChar">
    <w:name w:val="Aralık Yok Char"/>
    <w:aliases w:val="Mavili Char"/>
    <w:basedOn w:val="VarsaylanParagrafYazTipi"/>
    <w:link w:val="AralkYok"/>
    <w:uiPriority w:val="1"/>
    <w:rsid w:val="000010C2"/>
    <w:rPr>
      <w:noProof/>
    </w:rPr>
  </w:style>
  <w:style w:type="paragraph" w:styleId="BalonMetni">
    <w:name w:val="Balloon Text"/>
    <w:basedOn w:val="Normal"/>
    <w:link w:val="BalonMetniChar"/>
    <w:uiPriority w:val="99"/>
    <w:semiHidden/>
    <w:unhideWhenUsed/>
    <w:rsid w:val="000010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10C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AC04976-9297-42C6-ABA4-D53C44C943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4</cp:revision>
  <dcterms:created xsi:type="dcterms:W3CDTF">2022-12-09T14:20:00Z</dcterms:created>
  <dcterms:modified xsi:type="dcterms:W3CDTF">2023-02-22T09:29:00Z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3b4a435b-cf30-4d22-8a24-d127a2e3d041</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