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64" w:rsidRPr="00790B68" w:rsidRDefault="00EB4064" w:rsidP="00EB4064">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p>
    <w:p w:rsidR="00EB4064" w:rsidRDefault="00EB4064" w:rsidP="003D7FAE">
      <w:pPr>
        <w:spacing w:after="0"/>
      </w:pPr>
    </w:p>
    <w:p w:rsidR="00EB4064" w:rsidRPr="00277508" w:rsidRDefault="00EB4064" w:rsidP="003D7FAE">
      <w:pPr>
        <w:pStyle w:val="Balk2"/>
        <w:spacing w:before="0" w:line="276" w:lineRule="auto"/>
        <w:jc w:val="center"/>
        <w:rPr>
          <w:rFonts w:ascii="Arial" w:hAnsi="Arial" w:cs="Arial"/>
          <w:b/>
          <w:color w:val="auto"/>
          <w:sz w:val="24"/>
          <w:szCs w:val="24"/>
        </w:rPr>
      </w:pPr>
      <w:bookmarkStart w:id="0" w:name="_Toc10203541"/>
      <w:bookmarkStart w:id="1" w:name="_Toc91679083"/>
      <w:bookmarkStart w:id="2" w:name="_Toc105418714"/>
      <w:r w:rsidRPr="00277508">
        <w:rPr>
          <w:rFonts w:ascii="Arial" w:hAnsi="Arial" w:cs="Arial"/>
          <w:b/>
          <w:color w:val="auto"/>
          <w:sz w:val="24"/>
          <w:szCs w:val="24"/>
        </w:rPr>
        <w:t>SEKTÖR</w:t>
      </w:r>
      <w:bookmarkStart w:id="3" w:name="_GoBack"/>
      <w:bookmarkEnd w:id="3"/>
      <w:r w:rsidRPr="00277508">
        <w:rPr>
          <w:rFonts w:ascii="Arial" w:hAnsi="Arial" w:cs="Arial"/>
          <w:b/>
          <w:color w:val="auto"/>
          <w:sz w:val="24"/>
          <w:szCs w:val="24"/>
        </w:rPr>
        <w:t>DEN VERİ TEMİNİNE İLİŞKİN SEKTÖR DUYURUSU (2012/ 4)</w:t>
      </w:r>
      <w:bookmarkEnd w:id="0"/>
      <w:bookmarkEnd w:id="1"/>
      <w:bookmarkEnd w:id="2"/>
    </w:p>
    <w:p w:rsidR="00EB4064" w:rsidRDefault="00EB4064" w:rsidP="003D7FAE">
      <w:pPr>
        <w:spacing w:after="0" w:line="276" w:lineRule="auto"/>
      </w:pPr>
    </w:p>
    <w:p w:rsidR="003D7FAE" w:rsidRPr="00277508" w:rsidRDefault="003D7FAE" w:rsidP="003D7FAE">
      <w:pPr>
        <w:spacing w:after="0" w:line="276" w:lineRule="auto"/>
      </w:pP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Bilindiği üzere, 5684 sayılı Sigortacılık Kanunu ve 4632 sayılı Bireysel Emeklilik Tasarruf ve Yatırım Sistemi Kanunu ile diğer kanunların özel sigortacılık ve bireysel emeklilikle ilgili hükümleri kapsamında her türlü özel sigortacılık ve bireysel emeklilik faaliyetlerinin ve işlemlerinin kamu adına gözetim ve denetimi Hazine Müsteşarlığı tarafından gerçekleştirilmektedir.</w:t>
      </w: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 xml:space="preserve">Müsteşarlığımız tarafından sigortacılık ve bireysel emeklilik faaliyetleri hakkında yıllık raporların hazırlanması, şirketlerin mali bünyelerine ilişkin finansal analizlerin yapılması ve risk alanlarının tespit edilerek gözetim planı ve denetim programlarının oluşturulması ile sigortalılara karşı yükümlülüklerinin ifasının takip edilmesi amacıyla sigorta, reasürans ve emeklilik şirketlerinden belirli dönem ve tarihler itibariyle veriler istenmektedir. </w:t>
      </w: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Müsteşarlığımız Sigorta Denetleme Kurulu ve Sigortacılık Genel Müdürlüğü tarafından farklı format ve içerikte istenen veriler, sigortacılık ve özel emeklilik sektörlerinin gözetim ve izleme faaliyetlerinde yeknesaklığın sağlanması ve bu faaliyetlerin yürütülmesinde sektöre getirilen yükün azaltılmasını teminen,31.12.2011 tarihi itibarıyla geçerli olmak üzere, Sigortacılık Gözetim Sistemi (SGS) üzerinden ortak formatta ve tek elden talep edilecek olup, gözetim ve denetimle yetkili birimler tarafından ortak veri havuzu kullanılarak aynı bilgi işlem sistemi üzerinden değerlendirme yapılacaktır.</w:t>
      </w: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Müsteşarlığımız tarafından şirketlerden belirli aralıklarda düzenli olarak talep edilecek söz konusu veriler sekiz ayrı dosyada toplanarak aşağıdaki şekilde isimlendirilmiş olup, gönderim sırasında belirtilen tarihte Sigortacılık Gözetim Sistemi Portalına yüklenmesi ve elektronik ortamda imzalanması gerekmektedir.</w:t>
      </w:r>
    </w:p>
    <w:p w:rsidR="00EB4064" w:rsidRPr="003D7FAE" w:rsidRDefault="00EB4064" w:rsidP="003D7FAE">
      <w:pPr>
        <w:spacing w:after="0" w:line="276" w:lineRule="auto"/>
        <w:ind w:left="170"/>
        <w:rPr>
          <w:rFonts w:ascii="Arial" w:hAnsi="Arial" w:cs="Arial"/>
          <w:color w:val="000000"/>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1"/>
      </w:tblGrid>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Tablo No</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Tablo Adı</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Frekans</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10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Mali</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20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Konsolide</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Reasürans</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35</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Temel Veriler</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6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40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Aracı</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50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Hasar</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57</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AZMM</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3 aylık</w:t>
            </w:r>
          </w:p>
        </w:tc>
      </w:tr>
      <w:tr w:rsidR="00EB4064" w:rsidRPr="003D7FAE" w:rsidTr="001876B8">
        <w:tc>
          <w:tcPr>
            <w:tcW w:w="1809"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70</w:t>
            </w:r>
          </w:p>
        </w:tc>
        <w:tc>
          <w:tcPr>
            <w:tcW w:w="2410"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Aylık</w:t>
            </w:r>
          </w:p>
        </w:tc>
        <w:tc>
          <w:tcPr>
            <w:tcW w:w="2551" w:type="dxa"/>
            <w:shd w:val="clear" w:color="auto" w:fill="auto"/>
          </w:tcPr>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Aylık</w:t>
            </w:r>
          </w:p>
        </w:tc>
      </w:tr>
    </w:tbl>
    <w:p w:rsidR="00EB4064" w:rsidRPr="003D7FAE" w:rsidRDefault="00EB4064" w:rsidP="003D7FAE">
      <w:pPr>
        <w:spacing w:after="0" w:line="276" w:lineRule="auto"/>
        <w:ind w:left="170"/>
        <w:rPr>
          <w:rFonts w:ascii="Arial" w:hAnsi="Arial" w:cs="Arial"/>
          <w:color w:val="000000"/>
          <w:sz w:val="20"/>
          <w:szCs w:val="20"/>
        </w:rPr>
      </w:pP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Müsteşarlık ayrıca, yukarıda belirtilen tablolar dışında özel amaca yönelik olarak hazırlanacak tabloları elektronik ortamda şirketlerden talep edebilecektir. Ayrıca, tablolar ile ilgili sorulara telefon ile yanıt verilmeyecek olupsoru ve görüşlerin sgsveri@hazine.gov.tr adresine iletilmesi gerekmektedir.</w:t>
      </w: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İstenen veriler şirketlere ilişkin gözetim faaliyetinin sağlıklı bir biçimde yerine getirilmesinde ve denetim programlarının hazırlanmasında dikkate alınacağından veri dosyalarının, şirketlerin portalına gönderilmiş olan Kılavuzda yer alan açıklamalar doğrultusunda ve doğru bir şekilde doldurulması önem arz etmektedir.</w:t>
      </w:r>
    </w:p>
    <w:p w:rsidR="00EB4064" w:rsidRPr="003D7FAE" w:rsidRDefault="00EB4064" w:rsidP="003D7FAE">
      <w:pPr>
        <w:spacing w:after="0" w:line="276" w:lineRule="auto"/>
        <w:ind w:left="170"/>
        <w:rPr>
          <w:rFonts w:ascii="Arial" w:hAnsi="Arial" w:cs="Arial"/>
          <w:color w:val="000000"/>
          <w:sz w:val="20"/>
          <w:szCs w:val="20"/>
        </w:rPr>
      </w:pPr>
      <w:r w:rsidRPr="003D7FAE">
        <w:rPr>
          <w:rFonts w:ascii="Arial" w:hAnsi="Arial" w:cs="Arial"/>
          <w:color w:val="000000"/>
          <w:sz w:val="20"/>
          <w:szCs w:val="20"/>
        </w:rPr>
        <w:t>Söz konusu tabloların zamanında gönderilmemesi veya yanlış ve yanıltıcı olması 5684 sayılı Kanunun 18 inci ve 4632 sayılı Kanunun 23’üncü maddesinin ihlali anlamına geleceğinden ilgililer hakkında cezai sorumluluk doğuracaktır.</w:t>
      </w:r>
    </w:p>
    <w:p w:rsidR="00EB4064" w:rsidRDefault="00EB4064" w:rsidP="00EB4064">
      <w:pPr>
        <w:tabs>
          <w:tab w:val="left" w:pos="284"/>
        </w:tabs>
        <w:spacing w:after="0"/>
        <w:ind w:firstLine="709"/>
        <w:rPr>
          <w:rFonts w:ascii="Arial" w:hAnsi="Arial" w:cs="Arial"/>
          <w:sz w:val="20"/>
          <w:szCs w:val="20"/>
        </w:rPr>
      </w:pPr>
    </w:p>
    <w:tbl>
      <w:tblPr>
        <w:tblStyle w:val="TabloKlavuzu"/>
        <w:tblpPr w:leftFromText="141" w:rightFromText="141" w:vertAnchor="text" w:horzAnchor="margin" w:tblpY="130"/>
        <w:tblW w:w="0" w:type="auto"/>
        <w:tblInd w:w="0" w:type="dxa"/>
        <w:tblLook w:val="04A0" w:firstRow="1" w:lastRow="0" w:firstColumn="1" w:lastColumn="0" w:noHBand="0" w:noVBand="1"/>
      </w:tblPr>
      <w:tblGrid>
        <w:gridCol w:w="3016"/>
        <w:gridCol w:w="3019"/>
        <w:gridCol w:w="2462"/>
      </w:tblGrid>
      <w:tr w:rsidR="00EB4064" w:rsidTr="001876B8">
        <w:trPr>
          <w:trHeight w:val="289"/>
        </w:trPr>
        <w:tc>
          <w:tcPr>
            <w:tcW w:w="8497" w:type="dxa"/>
            <w:gridSpan w:val="3"/>
          </w:tcPr>
          <w:p w:rsidR="00EB4064" w:rsidRPr="00730EB1" w:rsidRDefault="00EB4064" w:rsidP="001876B8">
            <w:pPr>
              <w:jc w:val="center"/>
              <w:rPr>
                <w:b/>
                <w:sz w:val="20"/>
              </w:rPr>
            </w:pPr>
            <w:r w:rsidRPr="00730EB1">
              <w:rPr>
                <w:b/>
                <w:sz w:val="20"/>
              </w:rPr>
              <w:t>Sektör Duyurusu’nun</w:t>
            </w:r>
          </w:p>
        </w:tc>
      </w:tr>
      <w:tr w:rsidR="00EB4064" w:rsidTr="001876B8">
        <w:trPr>
          <w:trHeight w:val="289"/>
        </w:trPr>
        <w:tc>
          <w:tcPr>
            <w:tcW w:w="3016" w:type="dxa"/>
          </w:tcPr>
          <w:p w:rsidR="00EB4064" w:rsidRPr="00730EB1" w:rsidRDefault="00EB4064" w:rsidP="001876B8">
            <w:pPr>
              <w:jc w:val="center"/>
              <w:rPr>
                <w:b/>
                <w:sz w:val="20"/>
              </w:rPr>
            </w:pPr>
            <w:r w:rsidRPr="00730EB1">
              <w:rPr>
                <w:b/>
                <w:sz w:val="20"/>
              </w:rPr>
              <w:t>Numarası</w:t>
            </w:r>
          </w:p>
        </w:tc>
        <w:tc>
          <w:tcPr>
            <w:tcW w:w="3019" w:type="dxa"/>
          </w:tcPr>
          <w:p w:rsidR="00EB4064" w:rsidRPr="00730EB1" w:rsidRDefault="00EB4064" w:rsidP="001876B8">
            <w:pPr>
              <w:jc w:val="center"/>
              <w:rPr>
                <w:b/>
                <w:sz w:val="20"/>
              </w:rPr>
            </w:pPr>
            <w:r w:rsidRPr="00730EB1">
              <w:rPr>
                <w:b/>
                <w:sz w:val="20"/>
              </w:rPr>
              <w:t>Kabul Tarihi</w:t>
            </w:r>
          </w:p>
        </w:tc>
        <w:tc>
          <w:tcPr>
            <w:tcW w:w="2462" w:type="dxa"/>
          </w:tcPr>
          <w:p w:rsidR="00EB4064" w:rsidRPr="00730EB1" w:rsidRDefault="00EB4064" w:rsidP="001876B8">
            <w:pPr>
              <w:jc w:val="center"/>
              <w:rPr>
                <w:b/>
                <w:sz w:val="20"/>
              </w:rPr>
            </w:pPr>
            <w:r w:rsidRPr="00730EB1">
              <w:rPr>
                <w:b/>
                <w:sz w:val="20"/>
              </w:rPr>
              <w:t>Yürürlüğe Giriş Tarihi</w:t>
            </w:r>
          </w:p>
        </w:tc>
      </w:tr>
      <w:tr w:rsidR="00EB4064" w:rsidTr="001876B8">
        <w:trPr>
          <w:trHeight w:val="289"/>
        </w:trPr>
        <w:tc>
          <w:tcPr>
            <w:tcW w:w="3016" w:type="dxa"/>
          </w:tcPr>
          <w:p w:rsidR="00EB4064" w:rsidRPr="00730EB1" w:rsidRDefault="00EB4064" w:rsidP="001876B8">
            <w:pPr>
              <w:jc w:val="center"/>
              <w:rPr>
                <w:sz w:val="20"/>
              </w:rPr>
            </w:pPr>
            <w:r w:rsidRPr="00730EB1">
              <w:rPr>
                <w:sz w:val="20"/>
              </w:rPr>
              <w:lastRenderedPageBreak/>
              <w:t>2012/4</w:t>
            </w:r>
          </w:p>
        </w:tc>
        <w:tc>
          <w:tcPr>
            <w:tcW w:w="3019" w:type="dxa"/>
          </w:tcPr>
          <w:p w:rsidR="00EB4064" w:rsidRPr="00730EB1" w:rsidRDefault="00EB4064" w:rsidP="001876B8">
            <w:pPr>
              <w:jc w:val="center"/>
              <w:rPr>
                <w:sz w:val="20"/>
              </w:rPr>
            </w:pPr>
            <w:r w:rsidRPr="00730EB1">
              <w:rPr>
                <w:sz w:val="20"/>
              </w:rPr>
              <w:t>13.02.2012</w:t>
            </w:r>
          </w:p>
        </w:tc>
        <w:tc>
          <w:tcPr>
            <w:tcW w:w="2462" w:type="dxa"/>
          </w:tcPr>
          <w:p w:rsidR="00EB4064" w:rsidRPr="00730EB1" w:rsidRDefault="00EB4064" w:rsidP="001876B8">
            <w:pPr>
              <w:jc w:val="center"/>
              <w:rPr>
                <w:sz w:val="20"/>
              </w:rPr>
            </w:pPr>
            <w:r w:rsidRPr="00730EB1">
              <w:rPr>
                <w:sz w:val="20"/>
              </w:rPr>
              <w:t>13.02.2012</w:t>
            </w:r>
          </w:p>
        </w:tc>
      </w:tr>
    </w:tbl>
    <w:p w:rsidR="00EB4064" w:rsidRDefault="00EB4064" w:rsidP="00EB4064">
      <w:pPr>
        <w:tabs>
          <w:tab w:val="left" w:pos="284"/>
        </w:tabs>
        <w:spacing w:after="0"/>
        <w:ind w:firstLine="709"/>
        <w:rPr>
          <w:rFonts w:ascii="Arial" w:hAnsi="Arial" w:cs="Arial"/>
          <w:sz w:val="20"/>
          <w:szCs w:val="20"/>
        </w:rPr>
      </w:pPr>
    </w:p>
    <w:p w:rsidR="00831137" w:rsidRDefault="00831137"/>
    <w:sectPr w:rsidR="008311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64" w:rsidRDefault="00EB4064" w:rsidP="00EB4064">
      <w:pPr>
        <w:spacing w:after="0" w:line="240" w:lineRule="auto"/>
      </w:pPr>
      <w:r>
        <w:separator/>
      </w:r>
    </w:p>
  </w:endnote>
  <w:endnote w:type="continuationSeparator" w:id="0">
    <w:p w:rsidR="00EB4064" w:rsidRDefault="00EB4064" w:rsidP="00EB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Pr="003D7FAE" w:rsidRDefault="003D7FAE" w:rsidP="003D7FAE">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Pr="003D7FAE" w:rsidRDefault="003D7FAE" w:rsidP="003D7FAE">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Pr="003D7FAE" w:rsidRDefault="003D7FAE" w:rsidP="003D7FAE">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64" w:rsidRDefault="00EB4064" w:rsidP="00EB4064">
      <w:pPr>
        <w:spacing w:after="0" w:line="240" w:lineRule="auto"/>
      </w:pPr>
      <w:r>
        <w:separator/>
      </w:r>
    </w:p>
  </w:footnote>
  <w:footnote w:type="continuationSeparator" w:id="0">
    <w:p w:rsidR="00EB4064" w:rsidRDefault="00EB4064" w:rsidP="00EB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Default="00EB40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Default="00EB40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64" w:rsidRDefault="00EB406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11"/>
    <w:rsid w:val="00037B11"/>
    <w:rsid w:val="00230376"/>
    <w:rsid w:val="003D7FAE"/>
    <w:rsid w:val="004B16D4"/>
    <w:rsid w:val="00831137"/>
    <w:rsid w:val="00EB4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E934C"/>
  <w15:chartTrackingRefBased/>
  <w15:docId w15:val="{4EAEA063-7A3E-4040-9247-CA12161E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64"/>
  </w:style>
  <w:style w:type="paragraph" w:styleId="Balk2">
    <w:name w:val="heading 2"/>
    <w:basedOn w:val="Normal"/>
    <w:next w:val="Normal"/>
    <w:link w:val="Balk2Char"/>
    <w:uiPriority w:val="9"/>
    <w:unhideWhenUsed/>
    <w:qFormat/>
    <w:rsid w:val="00EB4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4064"/>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EB4064"/>
  </w:style>
  <w:style w:type="character" w:customStyle="1" w:styleId="document-info-label">
    <w:name w:val="document-info-label"/>
    <w:rsid w:val="00EB4064"/>
  </w:style>
  <w:style w:type="table" w:styleId="TabloKlavuzu">
    <w:name w:val="Table Grid"/>
    <w:basedOn w:val="NormalTablo"/>
    <w:uiPriority w:val="59"/>
    <w:rsid w:val="00EB4064"/>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EB40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064"/>
  </w:style>
  <w:style w:type="paragraph" w:styleId="AltBilgi">
    <w:name w:val="footer"/>
    <w:basedOn w:val="Normal"/>
    <w:link w:val="AltBilgiChar"/>
    <w:uiPriority w:val="99"/>
    <w:unhideWhenUsed/>
    <w:rsid w:val="00EB40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7A17F03-B42B-415E-8EAF-CD43A39727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EGM</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2022-12-16T07:07:00Z</dcterms:created>
  <dcterms:modified xsi:type="dcterms:W3CDTF">2023-01-09T13:39:00Z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0f8c52eb-3fad-4e6a-af30-931ac929207d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