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57F1" w14:textId="77777777" w:rsidR="00193C85" w:rsidRPr="00282749" w:rsidRDefault="00193C85" w:rsidP="00193C85">
      <w:pPr>
        <w:pStyle w:val="Balk2"/>
      </w:pPr>
      <w:bookmarkStart w:id="0" w:name="_Toc147751782"/>
      <w:r w:rsidRPr="00282749">
        <w:t xml:space="preserve">SERMAYE PİYASASI KURULU’NUN </w:t>
      </w:r>
      <w:r>
        <w:t>11</w:t>
      </w:r>
      <w:r w:rsidRPr="00282749">
        <w:t>/0</w:t>
      </w:r>
      <w:r>
        <w:t>7</w:t>
      </w:r>
      <w:r w:rsidRPr="00282749">
        <w:t>/20</w:t>
      </w:r>
      <w:r>
        <w:t>0</w:t>
      </w:r>
      <w:r w:rsidRPr="00282749">
        <w:t xml:space="preserve">3 TARİH ve </w:t>
      </w:r>
      <w:r>
        <w:t>36</w:t>
      </w:r>
      <w:r w:rsidRPr="00282749">
        <w:t>/</w:t>
      </w:r>
      <w:r>
        <w:t>852</w:t>
      </w:r>
      <w:r w:rsidRPr="00282749">
        <w:t xml:space="preserve"> SAYILI KURUL KARARI</w:t>
      </w:r>
      <w:bookmarkEnd w:id="0"/>
    </w:p>
    <w:p w14:paraId="0B286E21" w14:textId="3496F78C" w:rsidR="00193C85" w:rsidRDefault="00193C85" w:rsidP="00193C85">
      <w:pPr>
        <w:spacing w:after="0"/>
      </w:pPr>
    </w:p>
    <w:p w14:paraId="1EA3758D" w14:textId="77777777" w:rsidR="00193C85" w:rsidRDefault="00193C85" w:rsidP="00193C85">
      <w:pPr>
        <w:spacing w:after="0"/>
      </w:pPr>
      <w:bookmarkStart w:id="1" w:name="_GoBack"/>
      <w:bookmarkEnd w:id="1"/>
    </w:p>
    <w:p w14:paraId="29159698" w14:textId="77777777" w:rsidR="00193C85" w:rsidRPr="00193C85" w:rsidRDefault="00193C85" w:rsidP="00193C85">
      <w:pPr>
        <w:widowControl w:val="0"/>
        <w:spacing w:after="0" w:line="276" w:lineRule="auto"/>
        <w:ind w:right="170"/>
        <w:jc w:val="both"/>
        <w:rPr>
          <w:rFonts w:ascii="Arial" w:hAnsi="Arial" w:cs="Arial"/>
          <w:b/>
          <w:color w:val="000000"/>
          <w:kern w:val="16"/>
          <w:sz w:val="20"/>
          <w:szCs w:val="20"/>
        </w:rPr>
      </w:pPr>
      <w:r w:rsidRPr="00193C85">
        <w:rPr>
          <w:rFonts w:ascii="Arial" w:hAnsi="Arial" w:cs="Arial"/>
          <w:b/>
          <w:color w:val="000000"/>
          <w:kern w:val="16"/>
          <w:sz w:val="20"/>
          <w:szCs w:val="20"/>
        </w:rPr>
        <w:t>No: 36/852</w:t>
      </w:r>
    </w:p>
    <w:p w14:paraId="3C3F1E4F" w14:textId="77777777" w:rsidR="00193C85" w:rsidRPr="00193C85" w:rsidRDefault="00193C85" w:rsidP="00193C85">
      <w:pPr>
        <w:widowControl w:val="0"/>
        <w:spacing w:after="0" w:line="276" w:lineRule="auto"/>
        <w:ind w:right="170"/>
        <w:jc w:val="both"/>
        <w:rPr>
          <w:rFonts w:ascii="Arial" w:hAnsi="Arial" w:cs="Arial"/>
          <w:b/>
          <w:color w:val="000000"/>
          <w:kern w:val="16"/>
          <w:sz w:val="20"/>
          <w:szCs w:val="20"/>
        </w:rPr>
      </w:pPr>
      <w:r w:rsidRPr="00193C85">
        <w:rPr>
          <w:rFonts w:ascii="Arial" w:hAnsi="Arial" w:cs="Arial"/>
          <w:b/>
          <w:color w:val="000000"/>
          <w:kern w:val="16"/>
          <w:sz w:val="20"/>
          <w:szCs w:val="20"/>
        </w:rPr>
        <w:t>Kabul ve Yürürlüğe Giriş Tarihi: 11.07.2003</w:t>
      </w:r>
    </w:p>
    <w:p w14:paraId="65C2DFBE" w14:textId="77777777" w:rsidR="00193C85" w:rsidRDefault="00193C85" w:rsidP="00193C85">
      <w:pPr>
        <w:spacing w:after="0"/>
        <w:rPr>
          <w:b/>
        </w:rPr>
      </w:pPr>
    </w:p>
    <w:p w14:paraId="000E6CDF" w14:textId="77777777" w:rsidR="00193C85" w:rsidRPr="00193C85" w:rsidRDefault="00193C85" w:rsidP="00193C85">
      <w:pPr>
        <w:widowControl w:val="0"/>
        <w:spacing w:after="0" w:line="276" w:lineRule="auto"/>
        <w:ind w:right="170"/>
        <w:jc w:val="both"/>
        <w:rPr>
          <w:rFonts w:ascii="Arial" w:hAnsi="Arial" w:cs="Arial"/>
          <w:b/>
          <w:color w:val="000000"/>
          <w:kern w:val="16"/>
          <w:sz w:val="20"/>
          <w:szCs w:val="20"/>
        </w:rPr>
      </w:pPr>
      <w:r w:rsidRPr="00193C85">
        <w:rPr>
          <w:rFonts w:ascii="Arial" w:hAnsi="Arial" w:cs="Arial"/>
          <w:b/>
          <w:color w:val="000000"/>
          <w:kern w:val="16"/>
          <w:sz w:val="20"/>
          <w:szCs w:val="20"/>
        </w:rPr>
        <w:t>GRUP EMEKLİLİK YATIRIM FONLARINA İLİŞKİN AÇIKLAMA</w:t>
      </w:r>
    </w:p>
    <w:p w14:paraId="44734941" w14:textId="77777777" w:rsidR="00193C85" w:rsidRPr="00193C85" w:rsidRDefault="00193C85" w:rsidP="00193C85">
      <w:pPr>
        <w:widowControl w:val="0"/>
        <w:spacing w:after="0" w:line="276" w:lineRule="auto"/>
        <w:ind w:right="170"/>
        <w:jc w:val="both"/>
        <w:rPr>
          <w:rFonts w:ascii="Arial" w:hAnsi="Arial" w:cs="Arial"/>
          <w:color w:val="000000"/>
          <w:kern w:val="16"/>
          <w:sz w:val="20"/>
          <w:szCs w:val="20"/>
        </w:rPr>
      </w:pPr>
      <w:r w:rsidRPr="00193C85">
        <w:rPr>
          <w:rFonts w:ascii="Arial" w:hAnsi="Arial" w:cs="Arial"/>
          <w:color w:val="000000"/>
          <w:kern w:val="16"/>
          <w:sz w:val="20"/>
          <w:szCs w:val="20"/>
        </w:rPr>
        <w:t>Emeklilik şirketleri tarafından kurulacak emeklilik yatırım fonlarında; Emeklilik Yatırım Fonlarının Kuruluş ve Faaliyetlerine İlişkin Esaslar Hakkında Yönetmelik’in 22. maddesi uyarınca, portföyün devamlı olarak asgari %30 oranında (ters repo dahil) devlet iç borçlanma senetlerine (DİBS) yatırılması ve azami %15 olan yabancı menkul kıymet yatırımı sınırının aşılmaması koşuluyla, belirli bir gruba yönelik olarak sadece bir (1) adet grup emeklilik yatırım fonu kurulması ve grup içindeki bireylerin katkılarının tamamının bu fona aktarılması mümkündür. Ancak bu tür fonların portföylerinde DİBS’lerin %30 oranının altına düşmesi ya da yabancı menkul kıymetler oranının %15’i aşması halinde, Yönetmelik’in 21. maddesindeki 30 günlük süre yerine, portföyün 2 işgünü içerisinde Yönetmelik’in 22. maddesinde belirtilen sınırlara çekilmesi gerekmektedir.</w:t>
      </w:r>
    </w:p>
    <w:p w14:paraId="0B960695"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C79F" w14:textId="77777777" w:rsidR="00F14974" w:rsidRDefault="00F14974" w:rsidP="00193C85">
      <w:pPr>
        <w:spacing w:after="0" w:line="240" w:lineRule="auto"/>
      </w:pPr>
      <w:r>
        <w:separator/>
      </w:r>
    </w:p>
  </w:endnote>
  <w:endnote w:type="continuationSeparator" w:id="0">
    <w:p w14:paraId="515D2212" w14:textId="77777777" w:rsidR="00F14974" w:rsidRDefault="00F14974" w:rsidP="0019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312148E5" w:rsidR="00193C85" w:rsidRPr="00193C85" w:rsidRDefault="00193C85" w:rsidP="00193C85">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47306210" w:rsidR="00193C85" w:rsidRPr="00193C85" w:rsidRDefault="00193C85" w:rsidP="00193C85">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6CE25E8A" w:rsidR="00193C85" w:rsidRPr="00193C85" w:rsidRDefault="00193C85" w:rsidP="00193C85">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D784" w14:textId="77777777" w:rsidR="00F14974" w:rsidRDefault="00F14974" w:rsidP="00193C85">
      <w:pPr>
        <w:spacing w:after="0" w:line="240" w:lineRule="auto"/>
      </w:pPr>
      <w:r>
        <w:separator/>
      </w:r>
    </w:p>
  </w:footnote>
  <w:footnote w:type="continuationSeparator" w:id="0">
    <w:p w14:paraId="636706D4" w14:textId="77777777" w:rsidR="00F14974" w:rsidRDefault="00F14974" w:rsidP="0019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193C85"/>
    <w:rsid w:val="008701A7"/>
    <w:rsid w:val="00A174FE"/>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autoRedefine/>
    <w:uiPriority w:val="9"/>
    <w:unhideWhenUsed/>
    <w:qFormat/>
    <w:rsid w:val="00193C85"/>
    <w:pPr>
      <w:keepNext/>
      <w:widowControl w:val="0"/>
      <w:spacing w:after="0" w:line="276" w:lineRule="auto"/>
      <w:ind w:right="900"/>
      <w:jc w:val="center"/>
      <w:outlineLvl w:val="1"/>
    </w:pPr>
    <w:rPr>
      <w:rFonts w:ascii="Arial" w:eastAsia="Cambria" w:hAnsi="Arial" w:cs="Arial"/>
      <w:b/>
      <w:kern w:val="1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AFBA300-8A21-453C-87E6-558CE54EE2D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Emeklilik Gozetim Merkezi</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2023-10-12T18:45:00Z</dcterms:created>
  <dcterms:modified xsi:type="dcterms:W3CDTF">2023-10-12T18:47:00Z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