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D13A7" w14:textId="77777777" w:rsidR="00DD13BD" w:rsidRPr="00DD13BD" w:rsidRDefault="00DD13BD" w:rsidP="00977CDA">
      <w:pPr>
        <w:jc w:val="both"/>
        <w:rPr>
          <w:rFonts w:ascii="Arial" w:hAnsi="Arial" w:cs="Arial"/>
          <w:b/>
        </w:rPr>
      </w:pPr>
      <w:bookmarkStart w:id="0" w:name="_GoBack"/>
      <w:bookmarkEnd w:id="0"/>
      <w:r w:rsidRPr="00DD13BD">
        <w:rPr>
          <w:rFonts w:ascii="Arial" w:hAnsi="Arial" w:cs="Arial"/>
          <w:b/>
          <w:u w:val="thick"/>
        </w:rPr>
        <w:t>Sigortacılık ve Özel Emeklilik Düzenleme ve Denetleme Kurumundan:</w:t>
      </w:r>
      <w:r w:rsidRPr="00DD13BD">
        <w:rPr>
          <w:rFonts w:ascii="Arial" w:hAnsi="Arial" w:cs="Arial"/>
          <w:b/>
        </w:rPr>
        <w:t xml:space="preserve">  </w:t>
      </w:r>
      <w:r w:rsidR="0054388A">
        <w:rPr>
          <w:rFonts w:ascii="Arial" w:hAnsi="Arial" w:cs="Arial"/>
          <w:b/>
        </w:rPr>
        <w:t>07</w:t>
      </w:r>
      <w:r w:rsidRPr="00DD13BD">
        <w:rPr>
          <w:rFonts w:ascii="Arial" w:hAnsi="Arial" w:cs="Arial"/>
          <w:b/>
        </w:rPr>
        <w:t>/0</w:t>
      </w:r>
      <w:r w:rsidR="0054388A">
        <w:rPr>
          <w:rFonts w:ascii="Arial" w:hAnsi="Arial" w:cs="Arial"/>
          <w:b/>
        </w:rPr>
        <w:t>2</w:t>
      </w:r>
      <w:r w:rsidRPr="00DD13BD">
        <w:rPr>
          <w:rFonts w:ascii="Arial" w:hAnsi="Arial" w:cs="Arial"/>
          <w:b/>
        </w:rPr>
        <w:t>/202</w:t>
      </w:r>
      <w:r w:rsidR="0054388A">
        <w:rPr>
          <w:rFonts w:ascii="Arial" w:hAnsi="Arial" w:cs="Arial"/>
          <w:b/>
        </w:rPr>
        <w:t>4</w:t>
      </w:r>
    </w:p>
    <w:p w14:paraId="10D7CBB5" w14:textId="77777777" w:rsidR="00DD13BD" w:rsidRPr="00DD13BD" w:rsidRDefault="00DD13BD" w:rsidP="00977CDA">
      <w:pPr>
        <w:jc w:val="both"/>
        <w:rPr>
          <w:rFonts w:ascii="Arial" w:hAnsi="Arial" w:cs="Arial"/>
          <w:b/>
        </w:rPr>
      </w:pPr>
    </w:p>
    <w:p w14:paraId="41AE90A8" w14:textId="77777777" w:rsidR="00DD13BD" w:rsidRPr="00DD13BD" w:rsidRDefault="00DD13BD" w:rsidP="00977CDA">
      <w:pPr>
        <w:jc w:val="both"/>
        <w:rPr>
          <w:rFonts w:ascii="Arial" w:hAnsi="Arial" w:cs="Arial"/>
          <w:b/>
        </w:rPr>
      </w:pPr>
    </w:p>
    <w:p w14:paraId="60F055D2" w14:textId="77777777" w:rsidR="00DD13BD" w:rsidRPr="00DD13BD" w:rsidRDefault="00DD13BD" w:rsidP="00977CDA">
      <w:pPr>
        <w:jc w:val="both"/>
        <w:rPr>
          <w:rFonts w:ascii="Arial" w:hAnsi="Arial" w:cs="Arial"/>
          <w:b/>
        </w:rPr>
      </w:pPr>
    </w:p>
    <w:p w14:paraId="7F193C7E" w14:textId="77777777" w:rsidR="0054388A" w:rsidRPr="0054388A" w:rsidRDefault="0054388A" w:rsidP="00977CDA">
      <w:pPr>
        <w:jc w:val="center"/>
        <w:rPr>
          <w:rFonts w:ascii="Arial" w:hAnsi="Arial" w:cs="Arial"/>
          <w:b/>
        </w:rPr>
      </w:pPr>
      <w:r w:rsidRPr="0054388A">
        <w:rPr>
          <w:rFonts w:ascii="Arial" w:hAnsi="Arial" w:cs="Arial"/>
          <w:b/>
        </w:rPr>
        <w:t>SERMAYE YETERLİLİK HESAPLAMASINDA KULLANILAN KATSAYILARDA</w:t>
      </w:r>
    </w:p>
    <w:p w14:paraId="06329A80" w14:textId="77777777" w:rsidR="0054388A" w:rsidRPr="0054388A" w:rsidRDefault="0054388A" w:rsidP="00977CDA">
      <w:pPr>
        <w:jc w:val="center"/>
        <w:rPr>
          <w:rFonts w:ascii="Arial" w:hAnsi="Arial" w:cs="Arial"/>
          <w:b/>
        </w:rPr>
      </w:pPr>
      <w:r w:rsidRPr="0054388A">
        <w:rPr>
          <w:rFonts w:ascii="Arial" w:hAnsi="Arial" w:cs="Arial"/>
          <w:b/>
        </w:rPr>
        <w:t>DEĞİŞİKLİK YAPILMASI HAKKINDA 2023/1 SAYILI GENELGEDE DEĞİŞİKLİK YAPILMASINA DAİR GENELGE</w:t>
      </w:r>
    </w:p>
    <w:p w14:paraId="5E5DC331" w14:textId="77777777" w:rsidR="00DD13BD" w:rsidRPr="00DD13BD" w:rsidRDefault="0054388A" w:rsidP="00977CDA">
      <w:pPr>
        <w:jc w:val="center"/>
        <w:rPr>
          <w:rFonts w:ascii="Arial" w:hAnsi="Arial" w:cs="Arial"/>
          <w:b/>
        </w:rPr>
      </w:pPr>
      <w:r w:rsidRPr="0054388A">
        <w:rPr>
          <w:rFonts w:ascii="Arial" w:hAnsi="Arial" w:cs="Arial"/>
          <w:b/>
        </w:rPr>
        <w:t>(2024/8)</w:t>
      </w:r>
    </w:p>
    <w:p w14:paraId="4E160C76" w14:textId="77777777" w:rsidR="00DD13BD" w:rsidRPr="00DD13BD" w:rsidRDefault="00DD13BD" w:rsidP="00977CDA">
      <w:pPr>
        <w:rPr>
          <w:rFonts w:ascii="Arial" w:hAnsi="Arial" w:cs="Arial"/>
          <w:b/>
        </w:rPr>
      </w:pPr>
    </w:p>
    <w:p w14:paraId="3EE8E6A8" w14:textId="77777777" w:rsidR="0054388A" w:rsidRDefault="00DD13BD" w:rsidP="00977CDA">
      <w:pPr>
        <w:jc w:val="both"/>
        <w:rPr>
          <w:rFonts w:ascii="Arial" w:hAnsi="Arial" w:cs="Arial"/>
        </w:rPr>
      </w:pPr>
      <w:r w:rsidRPr="00DD13BD">
        <w:rPr>
          <w:rFonts w:ascii="Arial" w:hAnsi="Arial" w:cs="Arial"/>
          <w:b/>
        </w:rPr>
        <w:t xml:space="preserve">MADDE 1 </w:t>
      </w:r>
      <w:r w:rsidRPr="00DD13BD">
        <w:rPr>
          <w:rFonts w:ascii="Arial" w:hAnsi="Arial" w:cs="Arial"/>
        </w:rPr>
        <w:t xml:space="preserve">- (1) </w:t>
      </w:r>
      <w:r w:rsidR="0054388A" w:rsidRPr="0054388A">
        <w:rPr>
          <w:rFonts w:ascii="Arial" w:hAnsi="Arial" w:cs="Arial"/>
        </w:rPr>
        <w:t>04/01/2023 tarihli ve 2023/1 sayılı Sermaye Yeterlilik Hesaplamasında Kullanılan Katsayılarda Değişiklik Yapılması Hakkında Genelgenin 3 üncü maddesinin dördüncü fıkrası aşağıdaki şekilde değiştirilmiştir.</w:t>
      </w:r>
    </w:p>
    <w:p w14:paraId="07E58211" w14:textId="77777777" w:rsidR="0054388A" w:rsidRPr="0054388A" w:rsidRDefault="0054388A" w:rsidP="00977CDA">
      <w:pPr>
        <w:jc w:val="both"/>
        <w:rPr>
          <w:rFonts w:ascii="Arial" w:hAnsi="Arial" w:cs="Arial"/>
        </w:rPr>
      </w:pPr>
    </w:p>
    <w:p w14:paraId="0ABB8126" w14:textId="77777777" w:rsidR="0054388A" w:rsidRDefault="0054388A" w:rsidP="00977CDA">
      <w:pPr>
        <w:jc w:val="both"/>
        <w:rPr>
          <w:rFonts w:ascii="Arial" w:hAnsi="Arial" w:cs="Arial"/>
        </w:rPr>
      </w:pPr>
      <w:r w:rsidRPr="0054388A">
        <w:rPr>
          <w:rFonts w:ascii="Arial" w:hAnsi="Arial" w:cs="Arial"/>
        </w:rPr>
        <w:t>"(4) Yönetmeliğin 8 inci maddesinin ikinci fıkrasının (i) bendinde belirtilen katsayıların %50' si uygulanır.”</w:t>
      </w:r>
    </w:p>
    <w:p w14:paraId="56564068" w14:textId="77777777" w:rsidR="0054388A" w:rsidRPr="0054388A" w:rsidRDefault="0054388A" w:rsidP="00977CDA">
      <w:pPr>
        <w:jc w:val="both"/>
        <w:rPr>
          <w:rFonts w:ascii="Arial" w:hAnsi="Arial" w:cs="Arial"/>
        </w:rPr>
      </w:pPr>
    </w:p>
    <w:p w14:paraId="45F1B910" w14:textId="77777777" w:rsidR="0054388A" w:rsidRDefault="0054388A" w:rsidP="00977CDA">
      <w:pPr>
        <w:jc w:val="both"/>
        <w:rPr>
          <w:rFonts w:ascii="Arial" w:hAnsi="Arial" w:cs="Arial"/>
        </w:rPr>
      </w:pPr>
      <w:r w:rsidRPr="0054388A">
        <w:rPr>
          <w:rFonts w:ascii="Arial" w:hAnsi="Arial" w:cs="Arial"/>
        </w:rPr>
        <w:t>(2)</w:t>
      </w:r>
      <w:r w:rsidRPr="0054388A">
        <w:rPr>
          <w:rFonts w:ascii="Arial" w:hAnsi="Arial" w:cs="Arial"/>
        </w:rPr>
        <w:tab/>
        <w:t>2023/1 sayılı Sermaye Yeterlilik Hesaplamasında Kull</w:t>
      </w:r>
      <w:r w:rsidR="00977CDA">
        <w:rPr>
          <w:rFonts w:ascii="Arial" w:hAnsi="Arial" w:cs="Arial"/>
        </w:rPr>
        <w:t>anı</w:t>
      </w:r>
      <w:r w:rsidRPr="0054388A">
        <w:rPr>
          <w:rFonts w:ascii="Arial" w:hAnsi="Arial" w:cs="Arial"/>
        </w:rPr>
        <w:t>lan Katsayılarda Değişiklik Yapılması Hakkında Genelgenin 3</w:t>
      </w:r>
      <w:r w:rsidR="00977CDA">
        <w:rPr>
          <w:rFonts w:ascii="Arial" w:hAnsi="Arial" w:cs="Arial"/>
        </w:rPr>
        <w:t xml:space="preserve"> </w:t>
      </w:r>
      <w:r w:rsidRPr="0054388A">
        <w:rPr>
          <w:rFonts w:ascii="Arial" w:hAnsi="Arial" w:cs="Arial"/>
        </w:rPr>
        <w:t>üncü maddesinin altıncı fıkrası aşağıdaki şekilde değiştirilmiştir.</w:t>
      </w:r>
    </w:p>
    <w:p w14:paraId="65556823" w14:textId="77777777" w:rsidR="0054388A" w:rsidRPr="0054388A" w:rsidRDefault="0054388A" w:rsidP="00977CDA">
      <w:pPr>
        <w:jc w:val="both"/>
        <w:rPr>
          <w:rFonts w:ascii="Arial" w:hAnsi="Arial" w:cs="Arial"/>
        </w:rPr>
      </w:pPr>
    </w:p>
    <w:p w14:paraId="1888F1F1" w14:textId="77777777" w:rsidR="0054388A" w:rsidRDefault="0054388A" w:rsidP="00977CDA">
      <w:pPr>
        <w:jc w:val="both"/>
        <w:rPr>
          <w:rFonts w:ascii="Arial" w:hAnsi="Arial" w:cs="Arial"/>
        </w:rPr>
      </w:pPr>
      <w:r w:rsidRPr="0054388A">
        <w:rPr>
          <w:rFonts w:ascii="Arial" w:hAnsi="Arial" w:cs="Arial"/>
        </w:rPr>
        <w:t>"(6) Kamu kurumları ile Kanunla kurulan ve özel kanunlarına istinaden sigorta aracılığı yapma yetkisi tanınan kurum ve kuruluşlardan (bankalar ile finansal kiralama, faktoring, finansman şirketleri hariç) olan muaccel alacaklar (dava sürecinde olanlar hariç) için Yönetmeliğin 8 inci maddesinin ikinci fıkrasının (m) bendinde belirtilen katsayıların %50' si uygulanır.”</w:t>
      </w:r>
    </w:p>
    <w:p w14:paraId="58B65B41" w14:textId="77777777" w:rsidR="0054388A" w:rsidRPr="0054388A" w:rsidRDefault="0054388A" w:rsidP="00977CDA">
      <w:pPr>
        <w:jc w:val="both"/>
        <w:rPr>
          <w:rFonts w:ascii="Arial" w:hAnsi="Arial" w:cs="Arial"/>
        </w:rPr>
      </w:pPr>
    </w:p>
    <w:p w14:paraId="66D7A8FF" w14:textId="77777777" w:rsidR="0054388A" w:rsidRDefault="0054388A" w:rsidP="00977CDA">
      <w:pPr>
        <w:jc w:val="both"/>
        <w:rPr>
          <w:rFonts w:ascii="Arial" w:hAnsi="Arial" w:cs="Arial"/>
        </w:rPr>
      </w:pPr>
      <w:r w:rsidRPr="0054388A">
        <w:rPr>
          <w:rFonts w:ascii="Arial" w:hAnsi="Arial" w:cs="Arial"/>
        </w:rPr>
        <w:t>(3)</w:t>
      </w:r>
      <w:r w:rsidRPr="0054388A">
        <w:rPr>
          <w:rFonts w:ascii="Arial" w:hAnsi="Arial" w:cs="Arial"/>
        </w:rPr>
        <w:tab/>
        <w:t>2023/1 sayılı Sermaye Yeterlilik Hesaplamasında Kull</w:t>
      </w:r>
      <w:r w:rsidR="00977CDA">
        <w:rPr>
          <w:rFonts w:ascii="Arial" w:hAnsi="Arial" w:cs="Arial"/>
        </w:rPr>
        <w:t>anı</w:t>
      </w:r>
      <w:r w:rsidRPr="0054388A">
        <w:rPr>
          <w:rFonts w:ascii="Arial" w:hAnsi="Arial" w:cs="Arial"/>
        </w:rPr>
        <w:t>lan Katsayılarda Değişiklik Yapılması Hakkında Genelgenin 3 üncü maddesine aşağıdaki fıkra eklenmiştir.</w:t>
      </w:r>
    </w:p>
    <w:p w14:paraId="7A7B3D6A" w14:textId="77777777" w:rsidR="0054388A" w:rsidRPr="0054388A" w:rsidRDefault="0054388A" w:rsidP="00977CDA">
      <w:pPr>
        <w:jc w:val="both"/>
        <w:rPr>
          <w:rFonts w:ascii="Arial" w:hAnsi="Arial" w:cs="Arial"/>
        </w:rPr>
      </w:pPr>
    </w:p>
    <w:p w14:paraId="64EFF23C" w14:textId="77777777" w:rsidR="0054388A" w:rsidRDefault="0054388A" w:rsidP="00977CDA">
      <w:pPr>
        <w:jc w:val="both"/>
        <w:rPr>
          <w:rFonts w:ascii="Arial" w:hAnsi="Arial" w:cs="Arial"/>
        </w:rPr>
      </w:pPr>
      <w:r w:rsidRPr="0054388A">
        <w:rPr>
          <w:rFonts w:ascii="Arial" w:hAnsi="Arial" w:cs="Arial"/>
        </w:rPr>
        <w:t>"(10) Yönetmeliğin 8 inci maddesinin ikinci fıkrasının (c) bendinde yer alan "Bankalarca ihraç edilen borçlanma araçları, kaynak kuruluşu bankalar olan varlık kiralama şirketlerince ihraç edilen kira sertifikaları” için risk katsayısı 0,025 olarak uygulanır.”</w:t>
      </w:r>
    </w:p>
    <w:p w14:paraId="642CC2D5" w14:textId="77777777" w:rsidR="0054388A" w:rsidRPr="0054388A" w:rsidRDefault="0054388A" w:rsidP="00977CDA">
      <w:pPr>
        <w:jc w:val="both"/>
        <w:rPr>
          <w:rFonts w:ascii="Arial" w:hAnsi="Arial" w:cs="Arial"/>
        </w:rPr>
      </w:pPr>
    </w:p>
    <w:p w14:paraId="243B59D2" w14:textId="77777777" w:rsidR="00DD13BD" w:rsidRDefault="0054388A" w:rsidP="00977CDA">
      <w:pPr>
        <w:jc w:val="both"/>
        <w:rPr>
          <w:rFonts w:ascii="Arial" w:hAnsi="Arial" w:cs="Arial"/>
        </w:rPr>
      </w:pPr>
      <w:r w:rsidRPr="0054388A">
        <w:rPr>
          <w:rFonts w:ascii="Arial" w:hAnsi="Arial" w:cs="Arial"/>
        </w:rPr>
        <w:t>(4)</w:t>
      </w:r>
      <w:r w:rsidRPr="0054388A">
        <w:rPr>
          <w:rFonts w:ascii="Arial" w:hAnsi="Arial" w:cs="Arial"/>
        </w:rPr>
        <w:tab/>
        <w:t>2023/1 sayılı Sermaye Yeterlilik Hesaplamasında Kullanılan Katsayılarda Değişiklik Yapılması Hakkında Genelgenin 3 üncü maddesine aşağıdaki fıkra eklenmiştir.</w:t>
      </w:r>
    </w:p>
    <w:p w14:paraId="13F18B1C" w14:textId="77777777" w:rsidR="00977CDA" w:rsidRDefault="00977CDA" w:rsidP="00977CDA">
      <w:pPr>
        <w:jc w:val="both"/>
        <w:rPr>
          <w:rFonts w:ascii="Arial" w:hAnsi="Arial" w:cs="Arial"/>
        </w:rPr>
      </w:pPr>
    </w:p>
    <w:p w14:paraId="34725F07" w14:textId="77777777" w:rsidR="0054388A" w:rsidRDefault="0054388A" w:rsidP="00977CDA">
      <w:pPr>
        <w:jc w:val="both"/>
        <w:rPr>
          <w:rFonts w:ascii="Arial" w:hAnsi="Arial" w:cs="Arial"/>
        </w:rPr>
      </w:pPr>
      <w:r w:rsidRPr="0054388A">
        <w:rPr>
          <w:rFonts w:ascii="Arial" w:hAnsi="Arial" w:cs="Arial"/>
        </w:rPr>
        <w:t>"(</w:t>
      </w:r>
      <w:r w:rsidR="00977CDA">
        <w:rPr>
          <w:rFonts w:ascii="Arial" w:hAnsi="Arial" w:cs="Arial"/>
        </w:rPr>
        <w:t>11</w:t>
      </w:r>
      <w:r w:rsidRPr="0054388A">
        <w:rPr>
          <w:rFonts w:ascii="Arial" w:hAnsi="Arial" w:cs="Arial"/>
        </w:rPr>
        <w:t xml:space="preserve">) Yönetmeliğin 8 inci maddesinin üçüncü fıkrasında reasürans riski hesabında, Kurumca mali ve teknik yeterlilik kriterlerine göre oluşturulacak listede yer alan reasürans şirketlerinden topluluk içindekilere devredilen primler için risk katsayısı 0,06 olarak uygulanır. Ayrıca bu kriterleri sağlayan topluluk içindeki tek bir reasüröre devredilen primler için risk hesabında prim devir oranının %60' </w:t>
      </w:r>
      <w:r w:rsidR="00977CDA">
        <w:rPr>
          <w:rFonts w:ascii="Arial" w:hAnsi="Arial" w:cs="Arial"/>
        </w:rPr>
        <w:t>ını</w:t>
      </w:r>
      <w:r w:rsidRPr="0054388A">
        <w:rPr>
          <w:rFonts w:ascii="Arial" w:hAnsi="Arial" w:cs="Arial"/>
        </w:rPr>
        <w:t xml:space="preserve"> aşan kısmına isabet</w:t>
      </w:r>
      <w:r>
        <w:rPr>
          <w:rFonts w:ascii="Arial" w:hAnsi="Arial" w:cs="Arial"/>
        </w:rPr>
        <w:t xml:space="preserve"> </w:t>
      </w:r>
      <w:r w:rsidRPr="0054388A">
        <w:rPr>
          <w:rFonts w:ascii="Arial" w:hAnsi="Arial" w:cs="Arial"/>
        </w:rPr>
        <w:t>eden prim tutarı dikkate alınır.”</w:t>
      </w:r>
    </w:p>
    <w:p w14:paraId="22B46FAE" w14:textId="77777777" w:rsidR="00977CDA" w:rsidRDefault="00977CDA" w:rsidP="00977CDA">
      <w:pPr>
        <w:jc w:val="both"/>
        <w:rPr>
          <w:rFonts w:ascii="Arial" w:hAnsi="Arial" w:cs="Arial"/>
        </w:rPr>
      </w:pPr>
    </w:p>
    <w:p w14:paraId="7F2D1B68" w14:textId="77777777" w:rsidR="0054388A" w:rsidRDefault="0054388A" w:rsidP="00977CDA">
      <w:pPr>
        <w:jc w:val="both"/>
        <w:rPr>
          <w:rFonts w:ascii="Arial" w:hAnsi="Arial" w:cs="Arial"/>
        </w:rPr>
      </w:pPr>
      <w:r w:rsidRPr="0054388A">
        <w:rPr>
          <w:rFonts w:ascii="Arial" w:hAnsi="Arial" w:cs="Arial"/>
        </w:rPr>
        <w:t>(5)</w:t>
      </w:r>
      <w:r w:rsidRPr="0054388A">
        <w:rPr>
          <w:rFonts w:ascii="Arial" w:hAnsi="Arial" w:cs="Arial"/>
        </w:rPr>
        <w:tab/>
        <w:t>2023/1 sayılı Sermaye Yeterlilik Hesaplamasında Kullanılan Katsayılarda Değişiklik Yapılması Hakkında Genelgenin 3 üncü maddesine aşağıdaki fıkra eklenmiştir.</w:t>
      </w:r>
    </w:p>
    <w:p w14:paraId="008163A4" w14:textId="77777777" w:rsidR="00977CDA" w:rsidRPr="0054388A" w:rsidRDefault="00977CDA" w:rsidP="00977CDA">
      <w:pPr>
        <w:jc w:val="both"/>
        <w:rPr>
          <w:rFonts w:ascii="Arial" w:hAnsi="Arial" w:cs="Arial"/>
        </w:rPr>
      </w:pPr>
    </w:p>
    <w:p w14:paraId="7ED82B9E" w14:textId="77777777" w:rsidR="0054388A" w:rsidRDefault="0054388A" w:rsidP="00977CDA">
      <w:pPr>
        <w:jc w:val="both"/>
        <w:rPr>
          <w:rFonts w:ascii="Arial" w:hAnsi="Arial" w:cs="Arial"/>
        </w:rPr>
      </w:pPr>
      <w:r w:rsidRPr="0054388A">
        <w:rPr>
          <w:rFonts w:ascii="Arial" w:hAnsi="Arial" w:cs="Arial"/>
        </w:rPr>
        <w:t>"(12) Yönetmeliğin 7</w:t>
      </w:r>
      <w:r w:rsidR="00977CDA">
        <w:rPr>
          <w:rFonts w:ascii="Arial" w:hAnsi="Arial" w:cs="Arial"/>
        </w:rPr>
        <w:t xml:space="preserve"> </w:t>
      </w:r>
      <w:r w:rsidRPr="0054388A">
        <w:rPr>
          <w:rFonts w:ascii="Arial" w:hAnsi="Arial" w:cs="Arial"/>
        </w:rPr>
        <w:t>nci maddesinin beşinci fıkrasının (a) bendinde hayat branşı yükümlülük esasına göre risk hesabında hayat matematik karşılığı (direkt ve endirekt işler dahil) ile bir yıllık hayat sigortaları için ayrılan kazanılmamış primler karşılığı toplamının %3 'ü dikkate alınır.”</w:t>
      </w:r>
    </w:p>
    <w:p w14:paraId="460E5093" w14:textId="77777777" w:rsidR="00977CDA" w:rsidRDefault="00977CDA" w:rsidP="00977CDA">
      <w:pPr>
        <w:jc w:val="both"/>
        <w:rPr>
          <w:rFonts w:ascii="Arial" w:hAnsi="Arial" w:cs="Arial"/>
        </w:rPr>
      </w:pPr>
    </w:p>
    <w:p w14:paraId="2E35E64E" w14:textId="77777777" w:rsidR="0054388A" w:rsidRDefault="0054388A" w:rsidP="00977CDA">
      <w:pPr>
        <w:jc w:val="both"/>
        <w:rPr>
          <w:rFonts w:ascii="Arial" w:hAnsi="Arial" w:cs="Arial"/>
        </w:rPr>
      </w:pPr>
      <w:r w:rsidRPr="0054388A">
        <w:rPr>
          <w:rFonts w:ascii="Arial" w:hAnsi="Arial" w:cs="Arial"/>
        </w:rPr>
        <w:t>(6)</w:t>
      </w:r>
      <w:r w:rsidRPr="0054388A">
        <w:rPr>
          <w:rFonts w:ascii="Arial" w:hAnsi="Arial" w:cs="Arial"/>
        </w:rPr>
        <w:tab/>
        <w:t>2023/1 sayılı Sermaye Yeterlilik Hesaplamasında Kullanılan Katsayılarda Değişiklik Yapılması Hakkında Genelgenin 3</w:t>
      </w:r>
      <w:r w:rsidR="00977CDA">
        <w:rPr>
          <w:rFonts w:ascii="Arial" w:hAnsi="Arial" w:cs="Arial"/>
        </w:rPr>
        <w:t xml:space="preserve"> </w:t>
      </w:r>
      <w:r w:rsidRPr="0054388A">
        <w:rPr>
          <w:rFonts w:ascii="Arial" w:hAnsi="Arial" w:cs="Arial"/>
        </w:rPr>
        <w:t>üncü maddesine aşağıdaki f</w:t>
      </w:r>
      <w:r w:rsidR="00977CDA">
        <w:rPr>
          <w:rFonts w:ascii="Arial" w:hAnsi="Arial" w:cs="Arial"/>
        </w:rPr>
        <w:t>ı</w:t>
      </w:r>
      <w:r w:rsidRPr="0054388A">
        <w:rPr>
          <w:rFonts w:ascii="Arial" w:hAnsi="Arial" w:cs="Arial"/>
        </w:rPr>
        <w:t>kra eklenmiştir.</w:t>
      </w:r>
    </w:p>
    <w:p w14:paraId="64D0FC13" w14:textId="77777777" w:rsidR="00977CDA" w:rsidRPr="0054388A" w:rsidRDefault="00977CDA" w:rsidP="00977CDA">
      <w:pPr>
        <w:jc w:val="both"/>
        <w:rPr>
          <w:rFonts w:ascii="Arial" w:hAnsi="Arial" w:cs="Arial"/>
        </w:rPr>
      </w:pPr>
    </w:p>
    <w:p w14:paraId="40635884" w14:textId="77777777" w:rsidR="0054388A" w:rsidRDefault="0054388A" w:rsidP="00977CDA">
      <w:pPr>
        <w:jc w:val="both"/>
        <w:rPr>
          <w:rFonts w:ascii="Arial" w:hAnsi="Arial" w:cs="Arial"/>
        </w:rPr>
      </w:pPr>
      <w:r w:rsidRPr="0054388A">
        <w:rPr>
          <w:rFonts w:ascii="Arial" w:hAnsi="Arial" w:cs="Arial"/>
        </w:rPr>
        <w:t>"(13) Yönetmeliğin 7 nci maddesinin altıncı fıkrasında emeklilik branşı için gerekli özsermaye hesabında belirtilen katsayının %50' si uygulanır.”</w:t>
      </w:r>
    </w:p>
    <w:p w14:paraId="3E47A435" w14:textId="77777777" w:rsidR="0054388A" w:rsidRPr="00DD13BD" w:rsidRDefault="0054388A" w:rsidP="00977CDA">
      <w:pPr>
        <w:jc w:val="both"/>
        <w:rPr>
          <w:rFonts w:ascii="Arial" w:hAnsi="Arial" w:cs="Arial"/>
        </w:rPr>
      </w:pPr>
    </w:p>
    <w:p w14:paraId="5D736071" w14:textId="77777777" w:rsidR="00DD13BD" w:rsidRPr="00DD13BD" w:rsidRDefault="00DD13BD" w:rsidP="00977CDA">
      <w:pPr>
        <w:jc w:val="both"/>
        <w:rPr>
          <w:rFonts w:ascii="Arial" w:hAnsi="Arial" w:cs="Arial"/>
        </w:rPr>
      </w:pPr>
      <w:r w:rsidRPr="00DD13BD">
        <w:rPr>
          <w:rFonts w:ascii="Arial" w:hAnsi="Arial" w:cs="Arial"/>
          <w:b/>
        </w:rPr>
        <w:lastRenderedPageBreak/>
        <w:t xml:space="preserve">MADDE 2 </w:t>
      </w:r>
      <w:r w:rsidRPr="00DD13BD">
        <w:rPr>
          <w:rFonts w:ascii="Arial" w:hAnsi="Arial" w:cs="Arial"/>
        </w:rPr>
        <w:t xml:space="preserve">- (1) </w:t>
      </w:r>
      <w:r w:rsidR="0054388A" w:rsidRPr="0054388A">
        <w:rPr>
          <w:rFonts w:ascii="Arial" w:hAnsi="Arial" w:cs="Arial"/>
        </w:rPr>
        <w:t>Bu Genelge 31/12/2023 tarihinden itibaren geçerli olmak üzere yayımı tarihinde yürürlüğe girer.</w:t>
      </w:r>
    </w:p>
    <w:p w14:paraId="2E47AB10" w14:textId="77777777" w:rsidR="00DD13BD" w:rsidRPr="00DD13BD" w:rsidRDefault="00DD13BD" w:rsidP="00977CDA">
      <w:pPr>
        <w:jc w:val="both"/>
        <w:rPr>
          <w:rFonts w:ascii="Arial" w:hAnsi="Arial" w:cs="Arial"/>
        </w:rPr>
      </w:pPr>
    </w:p>
    <w:p w14:paraId="0E7A60C1" w14:textId="77777777" w:rsidR="00242924" w:rsidRPr="0054388A" w:rsidRDefault="00DD13BD" w:rsidP="00977CDA">
      <w:pPr>
        <w:jc w:val="both"/>
        <w:rPr>
          <w:rFonts w:ascii="Arial" w:hAnsi="Arial" w:cs="Arial"/>
          <w:i/>
        </w:rPr>
      </w:pPr>
      <w:r w:rsidRPr="00DD13BD">
        <w:rPr>
          <w:rFonts w:ascii="Arial" w:hAnsi="Arial" w:cs="Arial"/>
          <w:b/>
        </w:rPr>
        <w:t xml:space="preserve">MADDE 3 </w:t>
      </w:r>
      <w:r w:rsidRPr="00DD13BD">
        <w:rPr>
          <w:rFonts w:ascii="Arial" w:hAnsi="Arial" w:cs="Arial"/>
        </w:rPr>
        <w:t xml:space="preserve">- (1) </w:t>
      </w:r>
      <w:r w:rsidR="0054388A" w:rsidRPr="0054388A">
        <w:rPr>
          <w:rFonts w:ascii="Arial" w:hAnsi="Arial" w:cs="Arial"/>
        </w:rPr>
        <w:t>Bu Genelge hükümlerini Sigortacılık ve Özel Emeklilik Düzenleme ve Denetleme Kurumu Başkanı yürütür.</w:t>
      </w:r>
    </w:p>
    <w:sectPr w:rsidR="00242924" w:rsidRPr="0054388A">
      <w:headerReference w:type="even" r:id="rId7"/>
      <w:headerReference w:type="default" r:id="rId8"/>
      <w:footerReference w:type="even" r:id="rId9"/>
      <w:footerReference w:type="default" r:id="rId10"/>
      <w:headerReference w:type="first" r:id="rId11"/>
      <w:footerReference w:type="first" r:id="rId12"/>
      <w:type w:val="continuous"/>
      <w:pgSz w:w="11910" w:h="16840"/>
      <w:pgMar w:top="1920" w:right="12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4BFD3" w14:textId="77777777" w:rsidR="006E4B6B" w:rsidRDefault="006E4B6B" w:rsidP="00B1316C">
      <w:r>
        <w:separator/>
      </w:r>
    </w:p>
  </w:endnote>
  <w:endnote w:type="continuationSeparator" w:id="0">
    <w:p w14:paraId="7C74C4F9" w14:textId="77777777" w:rsidR="006E4B6B" w:rsidRDefault="006E4B6B" w:rsidP="00B1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3477" w14:textId="43E8FA9A" w:rsidR="00B1316C" w:rsidRPr="00E162E0" w:rsidRDefault="00E162E0" w:rsidP="00E162E0">
    <w:pPr>
      <w:pStyle w:val="Footer"/>
    </w:pPr>
    <w:r>
      <w:rPr>
        <w:rFonts w:ascii="Arial" w:hAnsi="Arial" w:cs="Arial"/>
        <w:b/>
      </w:rPr>
      <w:fldChar w:fldCharType="begin" w:fldLock="1"/>
    </w:r>
    <w:r>
      <w:rPr>
        <w:rFonts w:ascii="Arial" w:hAnsi="Arial" w:cs="Arial"/>
        <w:b/>
      </w:rPr>
      <w:instrText xml:space="preserve"> DOCPROPERTY bjFooterEvenPageDocProperty \* MERGEFORMAT </w:instrText>
    </w:r>
    <w:r>
      <w:rPr>
        <w:rFonts w:ascii="Arial" w:hAnsi="Arial" w:cs="Arial"/>
        <w:b/>
      </w:rPr>
      <w:fldChar w:fldCharType="separate"/>
    </w:r>
    <w:r w:rsidRPr="00977CDA">
      <w:rPr>
        <w:rFonts w:ascii="Malgun Gothic" w:eastAsia="Malgun Gothic" w:hAnsi="Malgun Gothic" w:cs="Arial"/>
        <w:b/>
        <w:color w:val="999999"/>
        <w:sz w:val="20"/>
        <w:szCs w:val="20"/>
      </w:rPr>
      <w:t>Sınıflandırma|</w:t>
    </w:r>
    <w:r w:rsidRPr="00977CDA">
      <w:rPr>
        <w:rFonts w:ascii="Malgun Gothic" w:eastAsia="Malgun Gothic" w:hAnsi="Malgun Gothic" w:cs="Arial"/>
        <w:b/>
        <w:color w:val="339966"/>
        <w:sz w:val="20"/>
        <w:szCs w:val="20"/>
      </w:rPr>
      <w:t>Genel</w:t>
    </w:r>
    <w:r>
      <w:rP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A9DE" w14:textId="07D710AC" w:rsidR="00B1316C" w:rsidRPr="00E162E0" w:rsidRDefault="00E162E0" w:rsidP="00E162E0">
    <w:pPr>
      <w:pStyle w:val="Footer"/>
    </w:pPr>
    <w:r>
      <w:rPr>
        <w:rFonts w:ascii="Arial" w:hAnsi="Arial" w:cs="Arial"/>
        <w:b/>
      </w:rPr>
      <w:fldChar w:fldCharType="begin" w:fldLock="1"/>
    </w:r>
    <w:r>
      <w:rPr>
        <w:rFonts w:ascii="Arial" w:hAnsi="Arial" w:cs="Arial"/>
        <w:b/>
      </w:rPr>
      <w:instrText xml:space="preserve"> DOCPROPERTY bjFooterBothDocProperty \* MERGEFORMAT </w:instrText>
    </w:r>
    <w:r>
      <w:rPr>
        <w:rFonts w:ascii="Arial" w:hAnsi="Arial" w:cs="Arial"/>
        <w:b/>
      </w:rPr>
      <w:fldChar w:fldCharType="separate"/>
    </w:r>
    <w:r w:rsidRPr="00977CDA">
      <w:rPr>
        <w:rFonts w:ascii="Malgun Gothic" w:eastAsia="Malgun Gothic" w:hAnsi="Malgun Gothic" w:cs="Arial"/>
        <w:b/>
        <w:color w:val="999999"/>
        <w:sz w:val="20"/>
        <w:szCs w:val="20"/>
      </w:rPr>
      <w:t>Sınıflandırma|</w:t>
    </w:r>
    <w:r w:rsidRPr="00977CDA">
      <w:rPr>
        <w:rFonts w:ascii="Malgun Gothic" w:eastAsia="Malgun Gothic" w:hAnsi="Malgun Gothic" w:cs="Arial"/>
        <w:b/>
        <w:color w:val="339966"/>
        <w:sz w:val="20"/>
        <w:szCs w:val="20"/>
      </w:rPr>
      <w:t>Genel</w:t>
    </w:r>
    <w:r>
      <w:rPr>
        <w:rFonts w:ascii="Arial" w:hAnsi="Arial" w:cs="Arial"/>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DC24" w14:textId="0E6B216B" w:rsidR="00B1316C" w:rsidRPr="00E162E0" w:rsidRDefault="00E162E0" w:rsidP="00E162E0">
    <w:pPr>
      <w:pStyle w:val="Footer"/>
    </w:pPr>
    <w:r>
      <w:rPr>
        <w:rFonts w:ascii="Arial" w:hAnsi="Arial" w:cs="Arial"/>
        <w:b/>
      </w:rPr>
      <w:fldChar w:fldCharType="begin" w:fldLock="1"/>
    </w:r>
    <w:r>
      <w:rPr>
        <w:rFonts w:ascii="Arial" w:hAnsi="Arial" w:cs="Arial"/>
        <w:b/>
      </w:rPr>
      <w:instrText xml:space="preserve"> DOCPROPERTY bjFooterFirstPageDocProperty \* MERGEFORMAT </w:instrText>
    </w:r>
    <w:r>
      <w:rPr>
        <w:rFonts w:ascii="Arial" w:hAnsi="Arial" w:cs="Arial"/>
        <w:b/>
      </w:rPr>
      <w:fldChar w:fldCharType="separate"/>
    </w:r>
    <w:r w:rsidRPr="00977CDA">
      <w:rPr>
        <w:rFonts w:ascii="Malgun Gothic" w:eastAsia="Malgun Gothic" w:hAnsi="Malgun Gothic" w:cs="Arial"/>
        <w:b/>
        <w:color w:val="999999"/>
        <w:sz w:val="20"/>
        <w:szCs w:val="20"/>
      </w:rPr>
      <w:t>Sınıflandırma|</w:t>
    </w:r>
    <w:r w:rsidRPr="00977CDA">
      <w:rPr>
        <w:rFonts w:ascii="Malgun Gothic" w:eastAsia="Malgun Gothic" w:hAnsi="Malgun Gothic" w:cs="Arial"/>
        <w:b/>
        <w:color w:val="339966"/>
        <w:sz w:val="20"/>
        <w:szCs w:val="20"/>
      </w:rPr>
      <w:t>Genel</w:t>
    </w:r>
    <w:r>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73F20" w14:textId="77777777" w:rsidR="006E4B6B" w:rsidRDefault="006E4B6B" w:rsidP="00B1316C">
      <w:r>
        <w:separator/>
      </w:r>
    </w:p>
  </w:footnote>
  <w:footnote w:type="continuationSeparator" w:id="0">
    <w:p w14:paraId="59803520" w14:textId="77777777" w:rsidR="006E4B6B" w:rsidRDefault="006E4B6B" w:rsidP="00B13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A845" w14:textId="77777777" w:rsidR="00B1316C" w:rsidRDefault="00B13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1A7F" w14:textId="77777777" w:rsidR="00B1316C" w:rsidRDefault="00B13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EAE7" w14:textId="77777777" w:rsidR="00B1316C" w:rsidRDefault="00B13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24"/>
    <w:rsid w:val="001C3984"/>
    <w:rsid w:val="00242924"/>
    <w:rsid w:val="0054388A"/>
    <w:rsid w:val="006E4B6B"/>
    <w:rsid w:val="00977CDA"/>
    <w:rsid w:val="00A638CC"/>
    <w:rsid w:val="00B1316C"/>
    <w:rsid w:val="00DD13BD"/>
    <w:rsid w:val="00E162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1C412"/>
  <w15:docId w15:val="{03ABD1B2-A575-449A-9288-42A88EAC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316C"/>
    <w:pPr>
      <w:tabs>
        <w:tab w:val="center" w:pos="4536"/>
        <w:tab w:val="right" w:pos="9072"/>
      </w:tabs>
    </w:pPr>
  </w:style>
  <w:style w:type="character" w:customStyle="1" w:styleId="HeaderChar">
    <w:name w:val="Header Char"/>
    <w:basedOn w:val="DefaultParagraphFont"/>
    <w:link w:val="Header"/>
    <w:uiPriority w:val="99"/>
    <w:rsid w:val="00B1316C"/>
    <w:rPr>
      <w:rFonts w:ascii="Times New Roman" w:eastAsia="Times New Roman" w:hAnsi="Times New Roman" w:cs="Times New Roman"/>
      <w:lang w:val="tr-TR"/>
    </w:rPr>
  </w:style>
  <w:style w:type="paragraph" w:styleId="Footer">
    <w:name w:val="footer"/>
    <w:basedOn w:val="Normal"/>
    <w:link w:val="FooterChar"/>
    <w:uiPriority w:val="99"/>
    <w:unhideWhenUsed/>
    <w:rsid w:val="00B1316C"/>
    <w:pPr>
      <w:tabs>
        <w:tab w:val="center" w:pos="4536"/>
        <w:tab w:val="right" w:pos="9072"/>
      </w:tabs>
    </w:pPr>
  </w:style>
  <w:style w:type="character" w:customStyle="1" w:styleId="FooterChar">
    <w:name w:val="Footer Char"/>
    <w:basedOn w:val="DefaultParagraphFont"/>
    <w:link w:val="Footer"/>
    <w:uiPriority w:val="99"/>
    <w:rsid w:val="00B1316C"/>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A20E6D71-45DF-4E7C-8A30-CBCCAB04EDC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Emeklilik Gozetim Merkezi</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Cemile AVCI</dc:creator>
  <cp:lastModifiedBy>Cemile AVCI</cp:lastModifiedBy>
  <cp:revision>4</cp:revision>
  <cp:lastPrinted>2024-02-14T07:31:00Z</cp:lastPrinted>
  <dcterms:created xsi:type="dcterms:W3CDTF">2024-02-14T07:29:00Z</dcterms:created>
  <dcterms:modified xsi:type="dcterms:W3CDTF">2024-02-14T07:33:00Z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2023-07-17T00:00:00Z</vt:filetime>
  </property>
  <property fmtid="{D5CDD505-2E9C-101B-9397-08002B2CF9AE}" pid="6" name="docIndexRef">
    <vt:lpwstr>7704fd8c-2eeb-4057-9a66-5c6104d13997</vt:lpwstr>
  </property>
  <property fmtid="{D5CDD505-2E9C-101B-9397-08002B2CF9AE}" pid="7" name="bjSaver">
    <vt:lpwstr>HLvm0QIY5oOAk++36evuxaw38xTdytxi</vt:lpwstr>
  </property>
  <property fmtid="{D5CDD505-2E9C-101B-9397-08002B2CF9AE}" pid="8"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9" name="bjDocumentLabelXML-0">
    <vt:lpwstr>ames.com/2008/01/sie/internal/label"&gt;&lt;element uid="16f479a6-fc80-474c-ab11-d67f073bb2c9" value="" /&gt;&lt;/sisl&gt;</vt:lpwstr>
  </property>
  <property fmtid="{D5CDD505-2E9C-101B-9397-08002B2CF9AE}" pid="10" name="bjDocumentSecurityLabel">
    <vt:lpwstr>Bu iletinin sınıflandırması Genel</vt:lpwstr>
  </property>
  <property fmtid="{D5CDD505-2E9C-101B-9397-08002B2CF9AE}" pid="11" name="bjClsUserRVM">
    <vt:lpwstr>[]</vt:lpwstr>
  </property>
  <property fmtid="{D5CDD505-2E9C-101B-9397-08002B2CF9AE}" pid="12" name="bjFooterBothDocProperty">
    <vt:lpwstr>Sınıflandırma|Genel</vt:lpwstr>
  </property>
  <property fmtid="{D5CDD505-2E9C-101B-9397-08002B2CF9AE}" pid="13" name="bjFooterFirstPageDocProperty">
    <vt:lpwstr>Sınıflandırma|Genel</vt:lpwstr>
  </property>
  <property fmtid="{D5CDD505-2E9C-101B-9397-08002B2CF9AE}" pid="14" name="bjFooterEvenPageDocProperty">
    <vt:lpwstr>Sınıflandırma|Genel</vt:lpwstr>
  </property>
</Properties>
</file>