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E6" w:rsidRPr="003127E6" w:rsidRDefault="003127E6" w:rsidP="003127E6">
      <w:pPr>
        <w:jc w:val="both"/>
        <w:rPr>
          <w:rFonts w:ascii="Arial" w:hAnsi="Arial" w:cs="Arial"/>
          <w:b/>
          <w:u w:val="single"/>
          <w:lang w:val="tr-TR"/>
        </w:rPr>
      </w:pPr>
      <w:r w:rsidRPr="003127E6">
        <w:rPr>
          <w:rFonts w:ascii="Arial" w:hAnsi="Arial" w:cs="Arial"/>
          <w:b/>
          <w:u w:val="single"/>
          <w:lang w:val="tr-TR"/>
        </w:rPr>
        <w:t xml:space="preserve">Sigortacılık ve Özel Emeklilik Düzenleme ve Denetleme Kurumundan:  </w:t>
      </w:r>
      <w:r w:rsidRPr="003127E6">
        <w:rPr>
          <w:rFonts w:ascii="Arial" w:hAnsi="Arial" w:cs="Arial"/>
          <w:b/>
          <w:u w:val="single"/>
          <w:lang w:val="tr-TR"/>
        </w:rPr>
        <w:tab/>
        <w:t>21/04/2022</w:t>
      </w:r>
    </w:p>
    <w:p w:rsidR="003127E6" w:rsidRPr="003127E6" w:rsidRDefault="003127E6" w:rsidP="003127E6">
      <w:pPr>
        <w:jc w:val="both"/>
        <w:rPr>
          <w:rFonts w:ascii="Arial" w:hAnsi="Arial" w:cs="Arial"/>
          <w:lang w:val="tr-TR"/>
        </w:rPr>
      </w:pPr>
    </w:p>
    <w:p w:rsidR="003127E6" w:rsidRDefault="003127E6" w:rsidP="00CB712A">
      <w:pPr>
        <w:jc w:val="center"/>
        <w:rPr>
          <w:rFonts w:ascii="Arial" w:hAnsi="Arial" w:cs="Arial"/>
          <w:b/>
          <w:sz w:val="24"/>
          <w:lang w:val="tr-TR"/>
        </w:rPr>
      </w:pPr>
      <w:r w:rsidRPr="003127E6">
        <w:rPr>
          <w:rFonts w:ascii="Arial" w:hAnsi="Arial" w:cs="Arial"/>
          <w:b/>
          <w:sz w:val="24"/>
          <w:lang w:val="tr-TR"/>
        </w:rPr>
        <w:t>Teysîr* Modeline ve Katılım Esaslı Diğer Faaliyetlere İlişkin Sektör Duyurusu (2022/4)</w:t>
      </w:r>
    </w:p>
    <w:p w:rsidR="00CB712A" w:rsidRPr="003127E6" w:rsidRDefault="00CB712A" w:rsidP="00CB712A">
      <w:pPr>
        <w:jc w:val="center"/>
        <w:rPr>
          <w:rFonts w:ascii="Arial" w:hAnsi="Arial" w:cs="Arial"/>
          <w:b/>
          <w:sz w:val="24"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1- Teysîr Modelinin Uygulanmasına İlişkin Hususlar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Bilindiği üzere, 19 Aralık 2020 tarih ve 31339 sayılı res</w:t>
      </w:r>
      <w:r>
        <w:rPr>
          <w:rFonts w:ascii="Arial" w:hAnsi="Arial" w:cs="Arial"/>
          <w:lang w:val="tr-TR"/>
        </w:rPr>
        <w:t xml:space="preserve">mi gazetede yayımlanan “Katılım </w:t>
      </w:r>
      <w:r w:rsidRPr="003127E6">
        <w:rPr>
          <w:rFonts w:ascii="Arial" w:hAnsi="Arial" w:cs="Arial"/>
          <w:lang w:val="tr-TR"/>
        </w:rPr>
        <w:t>Esasları Çerçevesinde Sigortacılık ve Bireysel Emeklilik Faaliyetlerine İlişkin Yönetmelik”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(Yönetmelik) ile katılım esaslı faaliyette bulunmak isteyen şirketlerin taşıması gereken asgari koşullar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ilişkin genel çerçeve çizilmektedir.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Bu bağlamda, uygulanacak modelin ihtiva ettiği prensiplerle uygulamasının uyumlu ve tutarlı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olması şartıyla farklı katılım sigortacılığı modelleri uygulanması mümkün bulunmaktadır. Mahiyetinin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sade ve uygulamasının kolay olması nedeniyle sözlük anlamı “kolaylaştırma” manasına gelen “Teysîr”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modeli de bu uygulama biçimleri arasında yer almaktadır. Dayandığı fıkhi ilkelerle uygulaması tutarlı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olan Teysîr modeli istilahi anlamda; danışma komitesi nezaretinde dinen meşru olan konu ve risklerin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teminat altına alındığı, finansal varlıkların katılım esasları çerçevesinde yönetildiği sigortacılık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uygulamasını ifade etmektedir.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Bu kapsamda Teysîr modelinde aşağıda belirtilen üç temel prensip yer almaktadır;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1) İslami kurumsal yönetişim mekanizmasının kurulması (danışma komitesi, katılım uyum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birimi, katılım iç denetim mekanizması),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2) Dinen meşru olmayan konu ve risklerin teminat altına alınmaması,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3) Finansal varlıkların katılım esasları çerçevesinde yönetilmesi.</w:t>
      </w:r>
    </w:p>
    <w:p w:rsid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Hibe esaslı sözleşme ve fonların ayrımına dayanan T</w:t>
      </w:r>
      <w:r>
        <w:rPr>
          <w:rFonts w:ascii="Arial" w:hAnsi="Arial" w:cs="Arial"/>
          <w:lang w:val="tr-TR"/>
        </w:rPr>
        <w:t xml:space="preserve">ekafül modelinden farklı olarak </w:t>
      </w:r>
      <w:r w:rsidRPr="003127E6">
        <w:rPr>
          <w:rFonts w:ascii="Arial" w:hAnsi="Arial" w:cs="Arial"/>
          <w:lang w:val="tr-TR"/>
        </w:rPr>
        <w:t>Teysîr</w:t>
      </w:r>
      <w:r>
        <w:rPr>
          <w:rFonts w:ascii="Arial" w:hAnsi="Arial" w:cs="Arial"/>
          <w:lang w:val="tr-TR"/>
        </w:rPr>
        <w:t xml:space="preserve"> modelinde;</w:t>
      </w:r>
    </w:p>
    <w:p w:rsidR="003127E6" w:rsidRDefault="003127E6" w:rsidP="003127E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sözleşmenin hibe esaslı olması,</w:t>
      </w:r>
    </w:p>
    <w:p w:rsidR="003127E6" w:rsidRDefault="003127E6" w:rsidP="003127E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vekalet gibi ücretlendirme, mudaraba gibi kar paylaşım yöntemleri belirlenmesi,</w:t>
      </w:r>
    </w:p>
    <w:p w:rsidR="003127E6" w:rsidRDefault="003127E6" w:rsidP="003127E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sermayedar fonlarının ayrıştırılması,</w:t>
      </w:r>
    </w:p>
    <w:p w:rsidR="003127E6" w:rsidRDefault="003127E6" w:rsidP="003127E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tüzel kişiliği haiz fon kurulması,</w:t>
      </w:r>
    </w:p>
    <w:p w:rsidR="003127E6" w:rsidRPr="003127E6" w:rsidRDefault="003127E6" w:rsidP="003127E6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iade, bakiye veya borç (karz)</w:t>
      </w:r>
    </w:p>
    <w:p w:rsidR="003127E6" w:rsidRPr="003127E6" w:rsidRDefault="003127E6" w:rsidP="003127E6">
      <w:p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ve benzeri uygulamalar yer almamaktadır.</w:t>
      </w:r>
    </w:p>
    <w:p w:rsid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Yukarıda belirtilen üç koşulu taşımak kaydıyla kooperatif, anonim şirket veya farklı bir statüde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faaliyet gösteren sigort</w:t>
      </w:r>
      <w:r>
        <w:rPr>
          <w:rFonts w:ascii="Arial" w:hAnsi="Arial" w:cs="Arial"/>
          <w:lang w:val="tr-TR"/>
        </w:rPr>
        <w:t>a veya reasürans şirketlerinin;</w:t>
      </w:r>
    </w:p>
    <w:p w:rsidR="003127E6" w:rsidRDefault="003127E6" w:rsidP="003127E6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mevcut sözleşme yapıları ile (hibe veya yardımlaşma esaslı olmaksızın)</w:t>
      </w:r>
    </w:p>
    <w:p w:rsidR="003127E6" w:rsidRDefault="003127E6" w:rsidP="003127E6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mevcut sermaye yapıları ile (sermayedar ve katılımcı fonu ayrımı olmaksızın)</w:t>
      </w:r>
    </w:p>
    <w:p w:rsidR="003127E6" w:rsidRDefault="003127E6" w:rsidP="003127E6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mevcut kar zarar uygulamaları ile (iade, bakiye veya borç (karz) uygulaması olmaksızın)</w:t>
      </w:r>
    </w:p>
    <w:p w:rsidR="003127E6" w:rsidRPr="00CB712A" w:rsidRDefault="003127E6" w:rsidP="00DE72C6">
      <w:pPr>
        <w:pStyle w:val="ListeParagraf"/>
        <w:numPr>
          <w:ilvl w:val="0"/>
          <w:numId w:val="5"/>
        </w:numPr>
        <w:jc w:val="both"/>
        <w:rPr>
          <w:rFonts w:ascii="Arial" w:hAnsi="Arial" w:cs="Arial"/>
          <w:lang w:val="tr-TR"/>
        </w:rPr>
      </w:pPr>
      <w:r w:rsidRPr="00CB712A">
        <w:rPr>
          <w:rFonts w:ascii="Arial" w:hAnsi="Arial" w:cs="Arial"/>
          <w:lang w:val="tr-TR"/>
        </w:rPr>
        <w:t>mevcut organizasyonel yapıları ile (operatör veya işletmeci ayrımı olmaksızın)</w:t>
      </w:r>
    </w:p>
    <w:p w:rsidR="003127E6" w:rsidRPr="00CB712A" w:rsidRDefault="00CB712A" w:rsidP="003127E6">
      <w:pPr>
        <w:jc w:val="both"/>
        <w:rPr>
          <w:rFonts w:ascii="Arial" w:hAnsi="Arial" w:cs="Arial"/>
          <w:color w:val="808080" w:themeColor="background1" w:themeShade="80"/>
          <w:lang w:val="tr-TR"/>
        </w:rPr>
      </w:pPr>
      <w:r w:rsidRPr="00CB712A">
        <w:rPr>
          <w:rFonts w:ascii="Arial" w:hAnsi="Arial" w:cs="Arial"/>
          <w:color w:val="808080" w:themeColor="background1" w:themeShade="80"/>
        </w:rPr>
        <w:t>* Teysir kelimesinin Arapça olarak ifade karşılığıر ْسي ِيَْت dir.</w:t>
      </w:r>
    </w:p>
    <w:p w:rsidR="003127E6" w:rsidRPr="003127E6" w:rsidRDefault="003127E6" w:rsidP="003127E6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mevcut muhasebe ve raporlama yapıları ile (katılım esasları çerçevesinde paranın zaman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değeri ve özün önceliği kavramlarına riayet etmek şartıyla)</w:t>
      </w:r>
    </w:p>
    <w:p w:rsidR="003127E6" w:rsidRPr="003127E6" w:rsidRDefault="003127E6" w:rsidP="003127E6">
      <w:pPr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faaliyet göstermesi Teysîr modeli kapsamında değerlendirilmektedir. Bu kapsamda, Teysîr modelinin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tüm sigortacılık platformlarında uygulanabilmesi mümkün bulunmaktadır.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Teysîr modelinde, sigortalılara teknik kar dağıtılması da mümkün bulunmaktadır. Ancak,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Teysîr modelini uygulayan şirketçe Tekafül modelinin uygulandığı yahut “diğer modellerden daha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fazla katılıma uygun” bir model uygulandığı vb. tarzda bir algıyı oluşturacak şekilde tanıtım, ilan,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açıklama vb. faaliyetinde bulunulması, ilgili mevzuata açık bir aykır</w:t>
      </w:r>
      <w:r>
        <w:rPr>
          <w:rFonts w:ascii="Arial" w:hAnsi="Arial" w:cs="Arial"/>
          <w:lang w:val="tr-TR"/>
        </w:rPr>
        <w:t xml:space="preserve">ılık ve rekabetin ihlali olarak </w:t>
      </w:r>
      <w:r w:rsidRPr="003127E6">
        <w:rPr>
          <w:rFonts w:ascii="Arial" w:hAnsi="Arial" w:cs="Arial"/>
          <w:lang w:val="tr-TR"/>
        </w:rPr>
        <w:t>değerlendirilecektir.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“Katılım Esaslı Sigortacılık Faaliyetleri Çerçevesinde Türkiye Modelinin Tanımlanmasına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İlişkin Sektör Duyurusu (2021/6)” ile genel çerçevesi çizile</w:t>
      </w:r>
      <w:r>
        <w:rPr>
          <w:rFonts w:ascii="Arial" w:hAnsi="Arial" w:cs="Arial"/>
          <w:lang w:val="tr-TR"/>
        </w:rPr>
        <w:t xml:space="preserve">n “Türkiye modeli” tanımlaması, mezkûr </w:t>
      </w:r>
      <w:r w:rsidRPr="003127E6">
        <w:rPr>
          <w:rFonts w:ascii="Arial" w:hAnsi="Arial" w:cs="Arial"/>
          <w:lang w:val="tr-TR"/>
        </w:rPr>
        <w:t>modelin cihanşümul muhtevası ve diğer coğrafyalarda da kolayc</w:t>
      </w:r>
      <w:r>
        <w:rPr>
          <w:rFonts w:ascii="Arial" w:hAnsi="Arial" w:cs="Arial"/>
          <w:lang w:val="tr-TR"/>
        </w:rPr>
        <w:t xml:space="preserve">a benimsenmesi amacıyla “Teysîr </w:t>
      </w:r>
      <w:r w:rsidRPr="003127E6">
        <w:rPr>
          <w:rFonts w:ascii="Arial" w:hAnsi="Arial" w:cs="Arial"/>
          <w:lang w:val="tr-TR"/>
        </w:rPr>
        <w:t>modeli” olarak değiştirilmiş ve mezkûr sektör duyurusu yürürlükten kaldırılmıştır.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2- Tekafül Modelinin Uygulanmasına İlişkin Hususlar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Tekafül modeli, sözleşmenin teberru/hibe esaslı olduğu, sigortalıların bu niyetle sözleşme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akdetmesi gerektiği, tahsil edilen prim/hibe tutarlarının bağımsız, müstakil ayrı bir fon veya havuzda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değerlendirildiği ve doğrudan yardımlaşma ve dayanışma niyetinin ve hassasiyetinin ön planda olduğu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katılım esaslı sigortacılık uygulama biçimini ifade etmektedir.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Söz konusu uygulamada, sigortaya konu risk sonucu oluşan hasar ve tazminatların katılımcılar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tarafından paylaşılması esas olup, fondaki açığın külfetlerine, fazlalığın nimetlerine katılımcılar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muhatap olmaktadır. Bu sebeple, yardımlaşma ve dayanışma unsurunun hakkaniyetli bir şekilde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gerçekleşebilmesi için katılımcıların fon veya havuzla ilişkisinin devamlılık göstermesi gerekmektedir.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Bununla birlikte, söz konusu uygulama çerçevesinde, fon veya havuzun sigortacılık hizmetinin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yönetimi sorumluluğunu uhdesine alan mekanizmanın, fonda açık oluşması durumunda, mezkûr açığı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kapatma sorumluluğu da bulunmamaktadır.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Bu itibarla, Tekafül modelinin yukarıda açıklanan genel ilkeleri dikkate alındığında, söz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konusu ilkelerin uygulamaya tam olarak yansıtılabilmesi ancak özünde ortaklık prensibi ile daimi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üyeliğin geçerli olduğu platformlar vasıtasıyla mümkün olabilmektedir. Bu nedenle, ilgili mevzuat ve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uygulama pratiği dikkate alındığında, sermayedarın tüm riski üstlendiği, müşteri ediniminin açık uçlu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ve dönemsel olarak değişken olduğu, müşterilerin gerektiğinde ilave prim yükümlülüğüne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katlanmaksızın hasar ve tazminatların tam olarak ödenmesi hususunda kesin beklenti içerisine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girdikleri anonim şirket statüsüne sahip şirket uygulamalarında (mütüel hariç) yukarıda belirtilen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Tekafül uygulama biçiminin, ilkeleri ile tam uyumlu icra edilmesi mümkün görülmemektedir.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Bu çerçevede, hâlihazırda anonim şirket statüsü ile faaliyet gösteren sigorta veya reasürans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şirketlerinin, Tekafül modelini uygulamaması ve bu modeli uygulamakta olduğu izlenimi uyandıracak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ifade ve tanımlamaları kullanmaması gerekmektedir.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3- Katılım Mevzuatının Diğer Mevzuat İle İlişkisi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Kurumumuzca istihsal edilen katılım mevzuatı (yönetmelik, genelge, tebliğ, standart, rehber,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 xml:space="preserve">sektör duyurusu ve diğerleri) sigortacılık ve bireysel emeklilik mevzuatının istisnası veya </w:t>
      </w:r>
      <w:r w:rsidRPr="003127E6">
        <w:rPr>
          <w:rFonts w:ascii="Arial" w:hAnsi="Arial" w:cs="Arial"/>
          <w:lang w:val="tr-TR"/>
        </w:rPr>
        <w:lastRenderedPageBreak/>
        <w:t>mezkûr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mevzuata ilave yükümlülük hükmündedir. Katılım faaliyetlerinin icrasında öncelikli olarak katılım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mevzuatının dikkate alınması gerekmektedir.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4- Katılım Sertifikası Sürecine İlişkin Hususlar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Sınava girme koşullarına sahip olmakla birlikte; hastalık, akrabanın, yakının vefatı, kaza veya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beklenilmeyen durumlar gibi mücbir sebeplerle sınava katılamayacak kişilerin, bu durumlarını geçerli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bilgi ve belgelerle olayın meydana geldiği tarihten veya söz konusu mücbir sebebin ortadan kalktığı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tarihten itibaren en geç 5 iş günü içerisinde eğitimi düzenleyen kuruluşa ibraz etmesi durumunda bir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sonraki sınava girmek koşuluyla girmekle yükümlü olduğu ilk sınavdan muaf tutulması mümkün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bulunmaktadır. Söz konusu keyfiyete ilişkin gerekli bilgi ve belgelerin zamanında ibraz edilmemesi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durumunda ilgili katılımcı sınavda başarılı olmamış sayılacaktır.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Katılım esaslı sigorta ve bireysel emeklilik şirketleri ile kuruluşlar nezdinde çalışan personelin,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ilgili şirket veya kuruluş nezdinde bilfiil çalışırken arka arkaya iki yıl yenileme eğitimine katılmaması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durumunda katılım sağlanmayan ikinci yılın Aralık ayı sonu itibarı ile katılım sertifikası geçersiz hale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gelecektir. Bu durumdaki kişinin, tekrar sertifika almadan ilgili şirket ve kuruluşlarda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görevlendirilmesi mümkün olamayacaktır.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Şirket veya kuruluşlara dışarıdan hizmet veren bağımsız denetim firmasında şartları haiz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personele katılım iç denetim faaliyetinde eşlik edecek yardımcı personelin Kurumca uygun görülecek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ulusal veya uluslararası sertifika sahibi olması zorunludur. Söz konusu raporun, ilgili mevzuata göre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asgari şartları haiz personelce imzalanması gerekmektedir.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5- Kuruluşların Havuz Faaliyetine İlişkin Hususlar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Kuruluşlar nezdinde oluşturulan katılım havuzları ile konvansiyonel havuzlar arasında aktarım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yapılması durumda, söz konusu aktarım tutarının destek veya yardım statüsünde aktarılması esastır.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Bununla birlikte, borç statüsünde aktarım yapılması işin tekniği ve gereğince lüzumlu ise aktarılan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tutarın aktarım tarihindeki nominal değeri ilerleyen süreçte borca mahsup edilebilir. Borcun nominal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değerini artıracak işlemlerde bulunulamaz.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6- Danışma Komitesi Faaliyetlerine İlişkin Hususlar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İlgili mevzuat kapsamında danışma komitesince (müess</w:t>
      </w:r>
      <w:r>
        <w:rPr>
          <w:rFonts w:ascii="Arial" w:hAnsi="Arial" w:cs="Arial"/>
          <w:lang w:val="tr-TR"/>
        </w:rPr>
        <w:t xml:space="preserve">ese veya bünyede) icra edilmesi </w:t>
      </w:r>
      <w:r w:rsidRPr="003127E6">
        <w:rPr>
          <w:rFonts w:ascii="Arial" w:hAnsi="Arial" w:cs="Arial"/>
          <w:lang w:val="tr-TR"/>
        </w:rPr>
        <w:t>gereken eğitimler bizzat komite üyelerince gerçekleştirilir.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Yönetmeliğin 10 uncu maddesinin birinci fıkrası uyarınca danışma komitesince ilgili yıl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içerisinde gerçekleştirilecek aylık toplantıların, katılım uyum sorumlusunun tamamına (meşru bir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mazereti olmaksızın) şirket veya kuruluş genel müdürünün en az üçte ikisine katılımı zorunludur.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Fiziksel veya online icra edilen toplantıların tevsiki amacıyla resim veya ekran kayıtları saklanır.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Şirket veya kuruluş danışma komitesi üyelerinin eş ve/veya çocuklarının şirkette yönetici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pozisyonunda görev almadığına veya Danışma komitesi üyesi ile şirketin hâkim ortağının, yönetim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kurulu üyelerinin veya genel müdürünün eşi veya ikinci dereceye kadar (bu derece dâhil) kan veya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sıhrî hısmı şeklinde yakınlığının bulunmadığına dair danışma komitesi üyelerinden beyan almalıdır.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Dışarıdan danışma komitesi hizmeti veren müesseselerin bünyelerinde yer alan danışma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komitesi üyelerinden bir kısmını şirket veya kuruluşa tahsis etmeleri durumunda tahsis edilen danışma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komitesinin ilgili mevzuatında belirtilen asgari danışma komitesi oluşturma şartlarını sağlaması ve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toplantı tutanaklarında ve alınan kararlarda sadece mezkûr danışma komitesi üyelerinin imzasının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bulunması gerekmektedir.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7- Katılım Uyum Sorumlusu ve Katılım İç Denetim Personeline İlişkin Hususlar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Katılım uyum biriminin bağlı olduğu icra organı ve çalışma prensibi Yönetmeliğin 11 nci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maddesinde ve Genelgenin İkinci bölümünde detaylı olarak açıklanmıştır. Bu itibarla müstakil katılım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uyum birimi kurmayı tercih etmeyen kısmi emeklilik şirketleri ve kuruluşların mezkûr biriminin görev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ve sorumluluklarını yürütmesi amacıyla görevlendirdikleri personel, katılım mevzuatından kaynaklı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yükümlülükler özelinde doğrudan genel müdüre bağlı olarak faaliyet gösterir. Mezkûr görev ve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sorumluluklara ilişkin genel müdürün yetki ve sorumlulukları diğer yönetici personele devredilemez.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Kısmi emeklilik şirketleri ile kuruluşların katılım iç denetim raporunu kendi personelince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düzenletmeleri durumunda, söz konusu personelin Yönetmeliğin 11 inci maddesinin ikinci fıkrasında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belirtilen şartları haiz olması gerekmektedir.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8- Kuruma Raporlamaya İlişkin Hususlar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Şirket veya kuruluş, aşağıda yer alan rapor, bilgi ve verileri ayrıca ilgili yılsonunu takip eden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yılın Mayıs ayı sonuna kadar Kuruma bildirmekle yükümlüdür. Katılım uyum birimi veya sorumlusu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tarafından Kuruma yapılması gereken resmi yazışmalarda katılım uyum birimi veya sorumlusunun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bağlı olduğu genel müdürün imzası da ayrıca yer alır.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a) Katılım iç denetim raporunun bir örneği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b) Birim bazında sertifikalı veya katılım finans mezunu personel listesi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c) Sertifikalı personelin yenileme eğitimlerine katılım durumu</w:t>
      </w:r>
    </w:p>
    <w:p w:rsidR="003127E6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r w:rsidRPr="003127E6">
        <w:rPr>
          <w:rFonts w:ascii="Arial" w:hAnsi="Arial" w:cs="Arial"/>
          <w:lang w:val="tr-TR"/>
        </w:rPr>
        <w:t>d) Şirketlerin katılım mevzuatı çerçevesinde eğitim verdikleri aracıların ve eğitim tarihlerinin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yer aldığı liste</w:t>
      </w:r>
    </w:p>
    <w:p w:rsidR="00CB712A" w:rsidRDefault="00CB712A" w:rsidP="003127E6">
      <w:pPr>
        <w:jc w:val="both"/>
        <w:rPr>
          <w:rFonts w:ascii="Arial" w:hAnsi="Arial" w:cs="Arial"/>
          <w:b/>
          <w:lang w:val="tr-TR"/>
        </w:rPr>
      </w:pPr>
    </w:p>
    <w:p w:rsidR="003127E6" w:rsidRPr="003127E6" w:rsidRDefault="003127E6" w:rsidP="003127E6">
      <w:pPr>
        <w:jc w:val="both"/>
        <w:rPr>
          <w:rFonts w:ascii="Arial" w:hAnsi="Arial" w:cs="Arial"/>
          <w:b/>
          <w:lang w:val="tr-TR"/>
        </w:rPr>
      </w:pPr>
      <w:r w:rsidRPr="003127E6">
        <w:rPr>
          <w:rFonts w:ascii="Arial" w:hAnsi="Arial" w:cs="Arial"/>
          <w:b/>
          <w:lang w:val="tr-TR"/>
        </w:rPr>
        <w:t>9- Gecikme Faizi ve Cezasına İlişkin Hususlar</w:t>
      </w:r>
    </w:p>
    <w:p w:rsidR="00CB712A" w:rsidRDefault="00CB712A" w:rsidP="003127E6">
      <w:pPr>
        <w:ind w:firstLine="720"/>
        <w:jc w:val="both"/>
        <w:rPr>
          <w:rFonts w:ascii="Arial" w:hAnsi="Arial" w:cs="Arial"/>
          <w:lang w:val="tr-TR"/>
        </w:rPr>
      </w:pPr>
    </w:p>
    <w:p w:rsidR="00FD6CD5" w:rsidRPr="003127E6" w:rsidRDefault="003127E6" w:rsidP="003127E6">
      <w:pPr>
        <w:ind w:firstLine="720"/>
        <w:jc w:val="both"/>
        <w:rPr>
          <w:rFonts w:ascii="Arial" w:hAnsi="Arial" w:cs="Arial"/>
          <w:lang w:val="tr-TR"/>
        </w:rPr>
      </w:pPr>
      <w:bookmarkStart w:id="0" w:name="_GoBack"/>
      <w:bookmarkEnd w:id="0"/>
      <w:r w:rsidRPr="003127E6">
        <w:rPr>
          <w:rFonts w:ascii="Arial" w:hAnsi="Arial" w:cs="Arial"/>
          <w:lang w:val="tr-TR"/>
        </w:rPr>
        <w:t>Şirket veya kuruluşlarca yükümlülüklerin zamanında yerine getirilmemesinden dolayı ilgili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mevzuat ile ödenmesi hüküm altına alınan gecikme faizi, gecikme cezası veya benzeri tutarlara ilişkin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ödeme yapılırken, hak sahibine söz konusu ilave tutarın katılım esasları çerçevesinde değerlendirilmesi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hususunda yapılacak hatırlatmaların kısa mesaj, elektronik posta, çağrı merkezi veya diğer dijital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iletişim kanalları aracılığıyla yapılması mümkün olup, söz konusu bilgilendirmenin yapıldığına dair</w:t>
      </w:r>
      <w:r>
        <w:rPr>
          <w:rFonts w:ascii="Arial" w:hAnsi="Arial" w:cs="Arial"/>
          <w:lang w:val="tr-TR"/>
        </w:rPr>
        <w:t xml:space="preserve"> </w:t>
      </w:r>
      <w:r w:rsidRPr="003127E6">
        <w:rPr>
          <w:rFonts w:ascii="Arial" w:hAnsi="Arial" w:cs="Arial"/>
          <w:lang w:val="tr-TR"/>
        </w:rPr>
        <w:t>işlemlerin şirket bilgi işlem sisteminde en az üç yıl süreyle kaydının tutulması zorunludur.</w:t>
      </w:r>
    </w:p>
    <w:sectPr w:rsidR="00FD6CD5" w:rsidRPr="0031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E6" w:rsidRDefault="003127E6" w:rsidP="003127E6">
      <w:pPr>
        <w:spacing w:after="0" w:line="240" w:lineRule="auto"/>
      </w:pPr>
      <w:r>
        <w:separator/>
      </w:r>
    </w:p>
  </w:endnote>
  <w:endnote w:type="continuationSeparator" w:id="0">
    <w:p w:rsidR="003127E6" w:rsidRDefault="003127E6" w:rsidP="003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E6" w:rsidRPr="00CB712A" w:rsidRDefault="00CB712A" w:rsidP="00CB712A">
    <w:pPr>
      <w:pStyle w:val="AltBilgi"/>
    </w:pPr>
    <w:fldSimple w:instr=" DOCPROPERTY bjFooterEvenPageDocProperty \* MERGEFORMAT " w:fldLock="1">
      <w:r w:rsidRPr="003127E6">
        <w:rPr>
          <w:rFonts w:ascii="Malgun Gothic" w:eastAsia="Malgun Gothic" w:hAnsi="Malgun Gothic"/>
          <w:b/>
          <w:bCs/>
          <w:color w:val="999999"/>
          <w:sz w:val="20"/>
          <w:szCs w:val="20"/>
          <w:lang w:val="tr-TR"/>
        </w:rPr>
        <w:t>Sınıflandırma|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2A" w:rsidRDefault="00CB712A" w:rsidP="00CB712A">
    <w:pPr>
      <w:pStyle w:val="AltBilgi"/>
    </w:pPr>
    <w:fldSimple w:instr=" DOCPROPERTY bjFooterBothDocProperty \* MERGEFORMAT " w:fldLock="1">
      <w:r w:rsidRPr="003127E6">
        <w:rPr>
          <w:rFonts w:ascii="Malgun Gothic" w:eastAsia="Malgun Gothic" w:hAnsi="Malgun Gothic"/>
          <w:b/>
          <w:bCs/>
          <w:color w:val="999999"/>
          <w:sz w:val="20"/>
          <w:szCs w:val="20"/>
          <w:lang w:val="tr-TR"/>
        </w:rPr>
        <w:t>Sınıflandırma|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E6" w:rsidRPr="00CB712A" w:rsidRDefault="00CB712A" w:rsidP="00CB712A">
    <w:pPr>
      <w:pStyle w:val="AltBilgi"/>
    </w:pPr>
    <w:fldSimple w:instr=" DOCPROPERTY bjFooterFirstPageDocProperty \* MERGEFORMAT " w:fldLock="1">
      <w:r w:rsidRPr="003127E6">
        <w:rPr>
          <w:rFonts w:ascii="Malgun Gothic" w:eastAsia="Malgun Gothic" w:hAnsi="Malgun Gothic"/>
          <w:b/>
          <w:bCs/>
          <w:color w:val="999999"/>
          <w:sz w:val="20"/>
          <w:szCs w:val="20"/>
          <w:lang w:val="tr-TR"/>
        </w:rPr>
        <w:t>Sınıflandırma|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E6" w:rsidRDefault="003127E6" w:rsidP="003127E6">
      <w:pPr>
        <w:spacing w:after="0" w:line="240" w:lineRule="auto"/>
      </w:pPr>
      <w:r>
        <w:separator/>
      </w:r>
    </w:p>
  </w:footnote>
  <w:footnote w:type="continuationSeparator" w:id="0">
    <w:p w:rsidR="003127E6" w:rsidRDefault="003127E6" w:rsidP="003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2A" w:rsidRDefault="00CB71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2A" w:rsidRDefault="00CB71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2A" w:rsidRDefault="00CB71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903"/>
    <w:multiLevelType w:val="hybridMultilevel"/>
    <w:tmpl w:val="20861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1E8C"/>
    <w:multiLevelType w:val="hybridMultilevel"/>
    <w:tmpl w:val="19B21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443AE"/>
    <w:multiLevelType w:val="hybridMultilevel"/>
    <w:tmpl w:val="69241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086AE8"/>
    <w:multiLevelType w:val="hybridMultilevel"/>
    <w:tmpl w:val="6B66A2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D1A9B"/>
    <w:multiLevelType w:val="hybridMultilevel"/>
    <w:tmpl w:val="E2321CB4"/>
    <w:lvl w:ilvl="0" w:tplc="E7A8B5B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6DCF"/>
    <w:multiLevelType w:val="hybridMultilevel"/>
    <w:tmpl w:val="F75AD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E6"/>
    <w:rsid w:val="002A607E"/>
    <w:rsid w:val="003127E6"/>
    <w:rsid w:val="00CB712A"/>
    <w:rsid w:val="00D62F42"/>
    <w:rsid w:val="00E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B71DD1"/>
  <w15:chartTrackingRefBased/>
  <w15:docId w15:val="{5D1B8624-8628-480A-A328-D54ABB04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27E6"/>
  </w:style>
  <w:style w:type="paragraph" w:styleId="AltBilgi">
    <w:name w:val="footer"/>
    <w:basedOn w:val="Normal"/>
    <w:link w:val="AltBilgiChar"/>
    <w:uiPriority w:val="99"/>
    <w:unhideWhenUsed/>
    <w:rsid w:val="0031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27E6"/>
  </w:style>
  <w:style w:type="paragraph" w:styleId="ListeParagraf">
    <w:name w:val="List Paragraph"/>
    <w:basedOn w:val="Normal"/>
    <w:uiPriority w:val="34"/>
    <w:qFormat/>
    <w:rsid w:val="0031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/>
</file>

<file path=customXml/itemProps1.xml><?xml version="1.0" encoding="utf-8"?>
<ds:datastoreItem xmlns:ds="http://schemas.openxmlformats.org/officeDocument/2006/customXml" ds:itemID="{86B58BD2-F7F4-4EA2-AAC5-0D0D61FB38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SAKAOĞLU</dc:creator>
  <cp:keywords/>
  <dc:description/>
  <cp:lastModifiedBy>Seren SAKAOĞLU</cp:lastModifiedBy>
  <cp:revision>3</cp:revision>
  <dcterms:created xsi:type="dcterms:W3CDTF">2022-06-06T10:20:00Z</dcterms:created>
  <dcterms:modified xsi:type="dcterms:W3CDTF">2022-06-06T10:42:00Z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4aca6cc5-7fd0-4119-992e-8dae6adbeca1</vt:lpwstr>
  </property>
  <property fmtid="{D5CDD505-2E9C-101B-9397-08002B2CF9AE}" pid="3" name="bjDocumentSecurityLabel">
    <vt:lpwstr>Etiketleme Yok</vt:lpwstr>
  </property>
  <property fmtid="{D5CDD505-2E9C-101B-9397-08002B2CF9AE}" pid="4" name="bjClsUserRVM">
    <vt:lpwstr>[]</vt:lpwstr>
  </property>
  <property fmtid="{D5CDD505-2E9C-101B-9397-08002B2CF9AE}" pid="5" name="bjFooterBothDocProperty">
    <vt:lpwstr>Sınıflandırma|</vt:lpwstr>
  </property>
  <property fmtid="{D5CDD505-2E9C-101B-9397-08002B2CF9AE}" pid="6" name="bjFooterFirstPageDocProperty">
    <vt:lpwstr>Sınıflandırma|</vt:lpwstr>
  </property>
  <property fmtid="{D5CDD505-2E9C-101B-9397-08002B2CF9AE}" pid="7" name="bjFooterEvenPageDocProperty">
    <vt:lpwstr>Sınıflandırma|</vt:lpwstr>
  </property>
  <property fmtid="{D5CDD505-2E9C-101B-9397-08002B2CF9AE}" pid="8" name="bjSaver">
    <vt:lpwstr>HLvm0QIY5oOAk++36evuxaw38xTdytxi</vt:lpwstr>
  </property>
</Properties>
</file>