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1D6AAE" w:rsidRPr="00132E4F" w:rsidTr="001D6AA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1D6AAE" w:rsidRPr="00132E4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6AAE" w:rsidRPr="00132E4F" w:rsidRDefault="00132E4F" w:rsidP="00132E4F">
                  <w:pPr>
                    <w:spacing w:after="0" w:line="240" w:lineRule="atLeast"/>
                    <w:jc w:val="both"/>
                    <w:rPr>
                      <w:rFonts w:ascii="Arial" w:eastAsia="Times New Roman" w:hAnsi="Arial" w:cs="Arial"/>
                      <w:lang w:val="tr-TR"/>
                    </w:rPr>
                  </w:pPr>
                  <w:r w:rsidRPr="00132E4F">
                    <w:rPr>
                      <w:rFonts w:ascii="Arial" w:eastAsia="Times New Roman" w:hAnsi="Arial" w:cs="Arial"/>
                      <w:lang w:val="tr-TR"/>
                    </w:rPr>
                    <w:t>6 Nisan 2010</w:t>
                  </w:r>
                  <w:r w:rsidR="001D6AAE" w:rsidRPr="00132E4F">
                    <w:rPr>
                      <w:rFonts w:ascii="Arial" w:eastAsia="Times New Roman" w:hAnsi="Arial" w:cs="Arial"/>
                      <w:lang w:val="tr-TR"/>
                    </w:rPr>
                    <w:t xml:space="preserve"> </w:t>
                  </w:r>
                  <w:r w:rsidRPr="00132E4F">
                    <w:rPr>
                      <w:rFonts w:ascii="Arial" w:eastAsia="Times New Roman" w:hAnsi="Arial" w:cs="Arial"/>
                      <w:lang w:val="tr-TR"/>
                    </w:rPr>
                    <w:t>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6AAE" w:rsidRPr="00132E4F" w:rsidRDefault="001D6AAE" w:rsidP="001D6AAE">
                  <w:pPr>
                    <w:spacing w:after="0" w:line="240" w:lineRule="atLeast"/>
                    <w:jc w:val="both"/>
                    <w:rPr>
                      <w:rFonts w:ascii="Arial" w:eastAsia="Times New Roman" w:hAnsi="Arial" w:cs="Arial"/>
                      <w:lang w:val="tr-TR"/>
                    </w:rPr>
                  </w:pPr>
                  <w:r w:rsidRPr="00132E4F">
                    <w:rPr>
                      <w:rFonts w:ascii="Arial" w:eastAsia="Times New Roman" w:hAnsi="Arial" w:cs="Arial"/>
                      <w:b/>
                      <w:bCs/>
                      <w:color w:val="800000"/>
                      <w:lang w:val="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D6AAE" w:rsidRPr="00132E4F" w:rsidRDefault="00132E4F" w:rsidP="001D6AAE">
                  <w:pPr>
                    <w:spacing w:before="100" w:beforeAutospacing="1" w:after="100" w:afterAutospacing="1" w:line="240" w:lineRule="auto"/>
                    <w:jc w:val="both"/>
                    <w:rPr>
                      <w:rFonts w:ascii="Arial" w:eastAsia="Times New Roman" w:hAnsi="Arial" w:cs="Arial"/>
                      <w:lang w:val="tr-TR"/>
                    </w:rPr>
                  </w:pPr>
                  <w:r w:rsidRPr="00132E4F">
                    <w:rPr>
                      <w:rFonts w:ascii="Arial" w:eastAsia="Times New Roman" w:hAnsi="Arial" w:cs="Arial"/>
                      <w:lang w:val="tr-TR"/>
                    </w:rPr>
                    <w:t xml:space="preserve">                </w:t>
                  </w:r>
                  <w:r w:rsidR="001D6AAE" w:rsidRPr="00132E4F">
                    <w:rPr>
                      <w:rFonts w:ascii="Arial" w:eastAsia="Times New Roman" w:hAnsi="Arial" w:cs="Arial"/>
                      <w:lang w:val="tr-TR"/>
                    </w:rPr>
                    <w:t xml:space="preserve">Sayı : </w:t>
                  </w:r>
                  <w:r w:rsidRPr="00132E4F">
                    <w:rPr>
                      <w:rFonts w:ascii="Arial" w:eastAsia="Times New Roman" w:hAnsi="Arial" w:cs="Arial"/>
                      <w:lang w:val="tr-TR"/>
                    </w:rPr>
                    <w:t>27544</w:t>
                  </w:r>
                </w:p>
              </w:tc>
            </w:tr>
            <w:tr w:rsidR="001D6AAE" w:rsidRPr="00132E4F">
              <w:trPr>
                <w:trHeight w:val="480"/>
                <w:jc w:val="center"/>
              </w:trPr>
              <w:tc>
                <w:tcPr>
                  <w:tcW w:w="8789" w:type="dxa"/>
                  <w:gridSpan w:val="3"/>
                  <w:tcMar>
                    <w:top w:w="0" w:type="dxa"/>
                    <w:left w:w="108" w:type="dxa"/>
                    <w:bottom w:w="0" w:type="dxa"/>
                    <w:right w:w="108" w:type="dxa"/>
                  </w:tcMar>
                  <w:vAlign w:val="center"/>
                  <w:hideMark/>
                </w:tcPr>
                <w:p w:rsidR="001D6AAE" w:rsidRPr="00132E4F" w:rsidRDefault="001D6AAE" w:rsidP="001D6AAE">
                  <w:pPr>
                    <w:spacing w:before="100" w:beforeAutospacing="1" w:after="100" w:afterAutospacing="1" w:line="240" w:lineRule="auto"/>
                    <w:jc w:val="center"/>
                    <w:rPr>
                      <w:rFonts w:ascii="Arial" w:eastAsia="Times New Roman" w:hAnsi="Arial" w:cs="Arial"/>
                      <w:lang w:val="tr-TR"/>
                    </w:rPr>
                  </w:pPr>
                  <w:r w:rsidRPr="00132E4F">
                    <w:rPr>
                      <w:rFonts w:ascii="Arial" w:eastAsia="Times New Roman" w:hAnsi="Arial" w:cs="Arial"/>
                      <w:b/>
                      <w:bCs/>
                      <w:color w:val="000080"/>
                      <w:lang w:val="tr-TR"/>
                    </w:rPr>
                    <w:t>YÖNETMELİK</w:t>
                  </w:r>
                </w:p>
              </w:tc>
            </w:tr>
            <w:tr w:rsidR="001D6AAE" w:rsidRPr="00132E4F">
              <w:trPr>
                <w:trHeight w:val="480"/>
                <w:jc w:val="center"/>
              </w:trPr>
              <w:tc>
                <w:tcPr>
                  <w:tcW w:w="8789" w:type="dxa"/>
                  <w:gridSpan w:val="3"/>
                  <w:tcMar>
                    <w:top w:w="0" w:type="dxa"/>
                    <w:left w:w="108" w:type="dxa"/>
                    <w:bottom w:w="0" w:type="dxa"/>
                    <w:right w:w="108" w:type="dxa"/>
                  </w:tcMar>
                  <w:vAlign w:val="center"/>
                  <w:hideMark/>
                </w:tcPr>
                <w:p w:rsidR="001D6AAE" w:rsidRPr="00132E4F" w:rsidRDefault="001D6AAE" w:rsidP="00132E4F">
                  <w:pPr>
                    <w:spacing w:after="0" w:line="240" w:lineRule="atLeast"/>
                    <w:jc w:val="both"/>
                    <w:rPr>
                      <w:rFonts w:ascii="Arial" w:eastAsia="Times New Roman" w:hAnsi="Arial" w:cs="Arial"/>
                      <w:bCs/>
                      <w:lang w:val="tr-TR"/>
                    </w:rPr>
                  </w:pPr>
                </w:p>
              </w:tc>
            </w:tr>
          </w:tbl>
          <w:p w:rsidR="001D6AAE" w:rsidRPr="00132E4F" w:rsidRDefault="001D6AAE" w:rsidP="001D6AAE">
            <w:pPr>
              <w:spacing w:after="0" w:line="240" w:lineRule="auto"/>
              <w:jc w:val="both"/>
              <w:rPr>
                <w:rFonts w:ascii="Arial" w:eastAsia="Times New Roman" w:hAnsi="Arial" w:cs="Arial"/>
                <w:lang w:val="tr-TR"/>
              </w:rPr>
            </w:pPr>
          </w:p>
        </w:tc>
      </w:tr>
    </w:tbl>
    <w:p w:rsidR="00132E4F" w:rsidRPr="00132E4F" w:rsidRDefault="00132E4F" w:rsidP="00132E4F">
      <w:pPr>
        <w:jc w:val="center"/>
        <w:rPr>
          <w:rFonts w:ascii="Arial" w:eastAsia="Times New Roman" w:hAnsi="Arial" w:cs="Arial"/>
          <w:b/>
          <w:bCs/>
          <w:lang w:val="tr-TR"/>
        </w:rPr>
      </w:pPr>
      <w:r w:rsidRPr="00132E4F">
        <w:rPr>
          <w:rFonts w:ascii="Arial" w:eastAsia="Times New Roman" w:hAnsi="Arial" w:cs="Arial"/>
          <w:b/>
          <w:bCs/>
          <w:lang w:val="tr-TR"/>
        </w:rPr>
        <w:t>TÜRK VATANDAŞLIĞI KANUNUNUN UYGULANMASINA İLİŞKİN YÖNETMELİK</w:t>
      </w:r>
    </w:p>
    <w:p w:rsidR="00132E4F" w:rsidRPr="00132E4F" w:rsidRDefault="00132E4F" w:rsidP="00132E4F">
      <w:pPr>
        <w:jc w:val="both"/>
        <w:rPr>
          <w:rFonts w:ascii="Arial" w:hAnsi="Arial" w:cs="Arial"/>
          <w:lang w:val="tr-TR"/>
        </w:rPr>
      </w:pPr>
    </w:p>
    <w:p w:rsidR="00132E4F" w:rsidRPr="00132E4F" w:rsidRDefault="00132E4F" w:rsidP="00132E4F">
      <w:pPr>
        <w:jc w:val="both"/>
        <w:rPr>
          <w:rFonts w:ascii="Arial" w:hAnsi="Arial" w:cs="Arial"/>
          <w:b/>
          <w:lang w:val="tr-TR"/>
        </w:rPr>
      </w:pPr>
      <w:r w:rsidRPr="00132E4F">
        <w:rPr>
          <w:rFonts w:ascii="Arial" w:hAnsi="Arial" w:cs="Arial"/>
          <w:b/>
          <w:lang w:val="tr-TR"/>
        </w:rPr>
        <w:t xml:space="preserve">Türk vatandaşlığının istisnai olarak kazanılması, başvuru için gerekli </w:t>
      </w:r>
      <w:r>
        <w:rPr>
          <w:rFonts w:ascii="Arial" w:hAnsi="Arial" w:cs="Arial"/>
          <w:b/>
          <w:lang w:val="tr-TR"/>
        </w:rPr>
        <w:t xml:space="preserve">belgeler ve yapılacak işlemler </w:t>
      </w:r>
      <w:r>
        <w:rPr>
          <w:rFonts w:ascii="Arial" w:hAnsi="Arial" w:cs="Arial"/>
          <w:b/>
          <w:lang w:val="tr-TR"/>
        </w:rPr>
        <w:br/>
      </w:r>
      <w:r w:rsidRPr="00132E4F">
        <w:rPr>
          <w:rFonts w:ascii="Arial" w:hAnsi="Arial" w:cs="Arial"/>
          <w:b/>
          <w:lang w:val="tr-TR"/>
        </w:rPr>
        <w:t>MADDE 20</w:t>
      </w:r>
      <w:r w:rsidRPr="00132E4F">
        <w:rPr>
          <w:rFonts w:ascii="Arial" w:hAnsi="Arial" w:cs="Arial"/>
          <w:lang w:val="tr-TR"/>
        </w:rPr>
        <w:t xml:space="preserve"> – (1) Kanunun 12 nci maddesinde sayılan hallerde yabancı, istisnai olarak Türk vatandaşlığını kazanabilir.</w:t>
      </w:r>
    </w:p>
    <w:p w:rsidR="00132E4F" w:rsidRPr="00132E4F" w:rsidRDefault="00132E4F" w:rsidP="00132E4F">
      <w:pPr>
        <w:jc w:val="both"/>
        <w:rPr>
          <w:rFonts w:ascii="Arial" w:hAnsi="Arial" w:cs="Arial"/>
          <w:lang w:val="tr-TR"/>
        </w:rPr>
      </w:pPr>
      <w:r w:rsidRPr="00132E4F">
        <w:rPr>
          <w:rFonts w:ascii="Arial" w:hAnsi="Arial" w:cs="Arial"/>
          <w:lang w:val="tr-TR"/>
        </w:rPr>
        <w:t>(2) Aşağıdaki şartlardan herhangi birini sağlayan yabancı, Kanunun 12 nci maddesinin birinci fıkrasının (b) bendi kapsamında Cumhurbaşkanı kararı ile Tü</w:t>
      </w:r>
      <w:r>
        <w:rPr>
          <w:rFonts w:ascii="Arial" w:hAnsi="Arial" w:cs="Arial"/>
          <w:lang w:val="tr-TR"/>
        </w:rPr>
        <w:t xml:space="preserve">rk vatandaşlığını kazanabilir: </w:t>
      </w:r>
    </w:p>
    <w:p w:rsidR="00132E4F" w:rsidRPr="00132E4F" w:rsidRDefault="00132E4F" w:rsidP="00132E4F">
      <w:pPr>
        <w:jc w:val="both"/>
        <w:rPr>
          <w:rFonts w:ascii="Arial" w:hAnsi="Arial" w:cs="Arial"/>
          <w:lang w:val="tr-TR"/>
        </w:rPr>
      </w:pPr>
      <w:r w:rsidRPr="00132E4F">
        <w:rPr>
          <w:rFonts w:ascii="Arial" w:hAnsi="Arial" w:cs="Arial"/>
          <w:lang w:val="tr-TR"/>
        </w:rPr>
        <w:t>a) En az 500.000 Amerikan Doları veya karşılığı döviz tutarında sabit sermaye yatırımı gerçekleştirdiği Sanayi ve Teknoloji Bakanlığınca tespit edilen.</w:t>
      </w:r>
    </w:p>
    <w:p w:rsidR="00132E4F" w:rsidRPr="00132E4F" w:rsidRDefault="00132E4F" w:rsidP="00132E4F">
      <w:pPr>
        <w:jc w:val="both"/>
        <w:rPr>
          <w:rFonts w:ascii="Arial" w:hAnsi="Arial" w:cs="Arial"/>
          <w:lang w:val="tr-TR"/>
        </w:rPr>
      </w:pPr>
      <w:r w:rsidRPr="00132E4F">
        <w:rPr>
          <w:rFonts w:ascii="Arial" w:hAnsi="Arial" w:cs="Arial"/>
          <w:lang w:val="tr-TR"/>
        </w:rPr>
        <w:t>b) En az 250.000 Amerikan Doları veya karşılığı döviz tutarındaki taşınmazı tapu kayıtlarına üç yıl satılmaması şerhi koyulmak şartıyla satın aldığı veya kat mülkiyeti ya da kat irtifakı kurulmuş, en az 250.000 Amerikan Doları veya karşılığı döviz tutarı peşin olarak yatırılan ve tapu siciline üç yıl süreyle devir ve terkini yapılmayacağı taahhüdü şerh edilmek şartıyla noterde düzenlenmiş sözleşme ile taşınmazın satışının vaat edildiği Çevre, Şehircilik ve İklim Değişikliği Bakanlığınca tespit edilen.</w:t>
      </w:r>
    </w:p>
    <w:p w:rsidR="00132E4F" w:rsidRPr="00132E4F" w:rsidRDefault="00132E4F" w:rsidP="00132E4F">
      <w:pPr>
        <w:jc w:val="both"/>
        <w:rPr>
          <w:rFonts w:ascii="Arial" w:hAnsi="Arial" w:cs="Arial"/>
          <w:lang w:val="tr-TR"/>
        </w:rPr>
      </w:pPr>
      <w:r w:rsidRPr="00132E4F">
        <w:rPr>
          <w:rFonts w:ascii="Arial" w:hAnsi="Arial" w:cs="Arial"/>
          <w:lang w:val="tr-TR"/>
        </w:rPr>
        <w:t>c) En az 50 kişilik istihdam oluşturduğu Çalışma ve Sosyal Güvenlik Bakanlığınca tespit edilen.</w:t>
      </w:r>
    </w:p>
    <w:p w:rsidR="00132E4F" w:rsidRPr="00132E4F" w:rsidRDefault="00132E4F" w:rsidP="00132E4F">
      <w:pPr>
        <w:jc w:val="both"/>
        <w:rPr>
          <w:rFonts w:ascii="Arial" w:hAnsi="Arial" w:cs="Arial"/>
          <w:lang w:val="tr-TR"/>
        </w:rPr>
      </w:pPr>
      <w:r w:rsidRPr="00132E4F">
        <w:rPr>
          <w:rFonts w:ascii="Arial" w:hAnsi="Arial" w:cs="Arial"/>
          <w:lang w:val="tr-TR"/>
        </w:rPr>
        <w:t>ç) En az 500.000 Amerikan Doları veya karşılığı döviz tutarında mevduatı üç yıl tutma şartıyla Türkiye’de faaliyet gösteren bankalara yatırdığı Bankacılık Düzenleme ve Denetleme Kurumunca tespit edilen.</w:t>
      </w:r>
    </w:p>
    <w:p w:rsidR="00132E4F" w:rsidRPr="00132E4F" w:rsidRDefault="00132E4F" w:rsidP="00132E4F">
      <w:pPr>
        <w:jc w:val="both"/>
        <w:rPr>
          <w:rFonts w:ascii="Arial" w:hAnsi="Arial" w:cs="Arial"/>
          <w:lang w:val="tr-TR"/>
        </w:rPr>
      </w:pPr>
      <w:r w:rsidRPr="00132E4F">
        <w:rPr>
          <w:rFonts w:ascii="Arial" w:hAnsi="Arial" w:cs="Arial"/>
          <w:lang w:val="tr-TR"/>
        </w:rPr>
        <w:t>d) En az 500.000 Amerikan Doları veya karşılığı döviz tutarında Devlet borçlanma araçlarını üç yıl tutmak şartıyla satın aldığı Hazine ve Maliye Bakanlığınca tespit edilen.</w:t>
      </w:r>
    </w:p>
    <w:p w:rsidR="00132E4F" w:rsidRDefault="00132E4F" w:rsidP="00132E4F">
      <w:pPr>
        <w:jc w:val="both"/>
        <w:rPr>
          <w:rFonts w:ascii="Arial" w:hAnsi="Arial" w:cs="Arial"/>
          <w:lang w:val="tr-TR"/>
        </w:rPr>
      </w:pPr>
      <w:r w:rsidRPr="00132E4F">
        <w:rPr>
          <w:rFonts w:ascii="Arial" w:hAnsi="Arial" w:cs="Arial"/>
          <w:lang w:val="tr-TR"/>
        </w:rPr>
        <w:t>e) En az 500.000 Amerikan Doları veya karşılığı döviz tutarında gayrimenkul yatırım fonu katılma payı veya girişim sermayesi yatırım fonu katılma payını en az üç yıl elinde tutma şartıyla satın aldığı Sermaye Piyasası Kurulunca tespit edilen.</w:t>
      </w:r>
    </w:p>
    <w:p w:rsidR="00132E4F" w:rsidRPr="00132E4F" w:rsidRDefault="00132E4F" w:rsidP="00132E4F">
      <w:pPr>
        <w:jc w:val="both"/>
        <w:rPr>
          <w:rFonts w:ascii="Arial" w:hAnsi="Arial" w:cs="Arial"/>
          <w:lang w:val="tr-TR"/>
        </w:rPr>
      </w:pPr>
      <w:r w:rsidRPr="00132E4F">
        <w:rPr>
          <w:rFonts w:ascii="Arial" w:hAnsi="Arial" w:cs="Arial"/>
          <w:lang w:val="tr-TR"/>
        </w:rPr>
        <w:t>f) En az 500.000 Amerikan Doları veya karşılığı döviz tutarında katkı payını, kapsamı  Sigortacılık ve Özel Emeklilik Düzenleme ve Denetleme Kurumu tarafından belirlenen fonlarda tutma ve üç yıl sistemde kalma şartıyla bireysel emeklilik sistemine yatırdığı  Sigortacılık ve Özel Emeklilik Düzenleme ve Denetleme Kurumunca tespit edilen</w:t>
      </w:r>
      <w:r>
        <w:rPr>
          <w:rFonts w:ascii="Arial" w:hAnsi="Arial" w:cs="Arial"/>
          <w:lang w:val="tr-TR"/>
        </w:rPr>
        <w:t>.</w:t>
      </w:r>
    </w:p>
    <w:p w:rsidR="00132E4F" w:rsidRPr="00132E4F" w:rsidRDefault="00132E4F" w:rsidP="00132E4F">
      <w:pPr>
        <w:jc w:val="both"/>
        <w:rPr>
          <w:rFonts w:ascii="Arial" w:hAnsi="Arial" w:cs="Arial"/>
          <w:lang w:val="tr-TR"/>
        </w:rPr>
      </w:pPr>
      <w:r w:rsidRPr="00132E4F">
        <w:rPr>
          <w:rFonts w:ascii="Arial" w:hAnsi="Arial" w:cs="Arial"/>
          <w:lang w:val="tr-TR"/>
        </w:rPr>
        <w:t>(3) Türk vatandaşlığını istisnai olarak kazanmak isteyen yabancı hakkında Bakanlığın yazılı talimatı üzerine müracaat makamlarınca aşağıda belirtilen belge</w:t>
      </w:r>
      <w:r>
        <w:rPr>
          <w:rFonts w:ascii="Arial" w:hAnsi="Arial" w:cs="Arial"/>
          <w:lang w:val="tr-TR"/>
        </w:rPr>
        <w:t>lerden oluşan dosya düzenlenir:</w:t>
      </w:r>
    </w:p>
    <w:p w:rsidR="00132E4F" w:rsidRPr="00132E4F" w:rsidRDefault="00132E4F" w:rsidP="00132E4F">
      <w:pPr>
        <w:jc w:val="both"/>
        <w:rPr>
          <w:rFonts w:ascii="Arial" w:hAnsi="Arial" w:cs="Arial"/>
          <w:lang w:val="tr-TR"/>
        </w:rPr>
      </w:pPr>
      <w:r w:rsidRPr="00132E4F">
        <w:rPr>
          <w:rFonts w:ascii="Arial" w:hAnsi="Arial" w:cs="Arial"/>
          <w:lang w:val="tr-TR"/>
        </w:rPr>
        <w:t>a) İsteği belirten form dilekçe.</w:t>
      </w:r>
    </w:p>
    <w:p w:rsidR="00132E4F" w:rsidRPr="00132E4F" w:rsidRDefault="00132E4F" w:rsidP="00132E4F">
      <w:pPr>
        <w:jc w:val="both"/>
        <w:rPr>
          <w:rFonts w:ascii="Arial" w:hAnsi="Arial" w:cs="Arial"/>
          <w:lang w:val="tr-TR"/>
        </w:rPr>
      </w:pPr>
      <w:r w:rsidRPr="00132E4F">
        <w:rPr>
          <w:rFonts w:ascii="Arial" w:hAnsi="Arial" w:cs="Arial"/>
          <w:lang w:val="tr-TR"/>
        </w:rPr>
        <w:t>b) Kişinin hangi devlet vatandaşı olduğunu gösteren pasaport veya benzeri belge, vatansız ise temininin mümkün olması halinde buna ilişkin belge.</w:t>
      </w:r>
    </w:p>
    <w:p w:rsidR="00132E4F" w:rsidRPr="00132E4F" w:rsidRDefault="00132E4F" w:rsidP="00132E4F">
      <w:pPr>
        <w:jc w:val="both"/>
        <w:rPr>
          <w:rFonts w:ascii="Arial" w:hAnsi="Arial" w:cs="Arial"/>
          <w:lang w:val="tr-TR"/>
        </w:rPr>
      </w:pPr>
      <w:r w:rsidRPr="00132E4F">
        <w:rPr>
          <w:rFonts w:ascii="Arial" w:hAnsi="Arial" w:cs="Arial"/>
          <w:lang w:val="tr-TR"/>
        </w:rPr>
        <w:lastRenderedPageBreak/>
        <w:t>c) Medenî hal belgesi ve evli ise evlenme belgesi, boşanmış ise boşanma belgesi, dul ise eşine ait ölüm belgesi.</w:t>
      </w:r>
    </w:p>
    <w:p w:rsidR="00132E4F" w:rsidRPr="00132E4F" w:rsidRDefault="00132E4F" w:rsidP="00132E4F">
      <w:pPr>
        <w:jc w:val="both"/>
        <w:rPr>
          <w:rFonts w:ascii="Arial" w:hAnsi="Arial" w:cs="Arial"/>
          <w:lang w:val="tr-TR"/>
        </w:rPr>
      </w:pPr>
      <w:r w:rsidRPr="00132E4F">
        <w:rPr>
          <w:rFonts w:ascii="Arial" w:hAnsi="Arial" w:cs="Arial"/>
          <w:lang w:val="tr-TR"/>
        </w:rPr>
        <w:t>ç) Kişinin kimlik bilgilerini gösteren doğum belgesi veya nüfus kayıt örneği gibi belge ve evli ise eş ve çocuklarının aile bağını kanıtlayan nüfus kayıt örneği veya benzeri belge.</w:t>
      </w:r>
    </w:p>
    <w:p w:rsidR="00132E4F" w:rsidRPr="00132E4F" w:rsidRDefault="00132E4F" w:rsidP="00132E4F">
      <w:pPr>
        <w:jc w:val="both"/>
        <w:rPr>
          <w:rFonts w:ascii="Arial" w:hAnsi="Arial" w:cs="Arial"/>
          <w:lang w:val="tr-TR"/>
        </w:rPr>
      </w:pPr>
      <w:r w:rsidRPr="00132E4F">
        <w:rPr>
          <w:rFonts w:ascii="Arial" w:hAnsi="Arial" w:cs="Arial"/>
          <w:lang w:val="tr-TR"/>
        </w:rPr>
        <w:t>d) Türk vatandaşı birinci veya ikinci derece yakınları varsa bu kişilere ait müracaat makamlarınca sistemden alınan nüfus kayıt örneği.</w:t>
      </w:r>
    </w:p>
    <w:p w:rsidR="00132E4F" w:rsidRPr="00132E4F" w:rsidRDefault="00132E4F" w:rsidP="00132E4F">
      <w:pPr>
        <w:jc w:val="both"/>
        <w:rPr>
          <w:rFonts w:ascii="Arial" w:hAnsi="Arial" w:cs="Arial"/>
          <w:lang w:val="tr-TR"/>
        </w:rPr>
      </w:pPr>
      <w:r w:rsidRPr="00132E4F">
        <w:rPr>
          <w:rFonts w:ascii="Arial" w:hAnsi="Arial" w:cs="Arial"/>
          <w:lang w:val="tr-TR"/>
        </w:rPr>
        <w:t>e) Kişinin doğum tarihinin ay ve günü bulunmuyorsa, doğum tarihinin tamamlanması için ülkesinin yetkili makamlarından alınmış belge, belgenin temin edilememesi halinde ise 5490 sayılı Nüfus Hizmetleri Kanununun 39 uncu maddesi gereğince işlem yapılmasını kabul ettiğine dair imzalı be</w:t>
      </w:r>
      <w:r>
        <w:rPr>
          <w:rFonts w:ascii="Arial" w:hAnsi="Arial" w:cs="Arial"/>
          <w:lang w:val="tr-TR"/>
        </w:rPr>
        <w:t>yanı.</w:t>
      </w:r>
    </w:p>
    <w:p w:rsidR="00132E4F" w:rsidRPr="00132E4F" w:rsidRDefault="00132E4F" w:rsidP="00132E4F">
      <w:pPr>
        <w:jc w:val="both"/>
        <w:rPr>
          <w:rFonts w:ascii="Arial" w:hAnsi="Arial" w:cs="Arial"/>
          <w:lang w:val="tr-TR"/>
        </w:rPr>
      </w:pPr>
      <w:r w:rsidRPr="00132E4F">
        <w:rPr>
          <w:rFonts w:ascii="Arial" w:hAnsi="Arial" w:cs="Arial"/>
          <w:lang w:val="tr-TR"/>
        </w:rPr>
        <w:t>f) Hizmet bedelinin Maliye veznesine</w:t>
      </w:r>
      <w:r>
        <w:rPr>
          <w:rFonts w:ascii="Arial" w:hAnsi="Arial" w:cs="Arial"/>
          <w:lang w:val="tr-TR"/>
        </w:rPr>
        <w:t xml:space="preserve"> yatırıldığını gösteren makbuz.</w:t>
      </w:r>
    </w:p>
    <w:p w:rsidR="00132E4F" w:rsidRPr="00132E4F" w:rsidRDefault="00132E4F" w:rsidP="00132E4F">
      <w:pPr>
        <w:jc w:val="both"/>
        <w:rPr>
          <w:rFonts w:ascii="Arial" w:hAnsi="Arial" w:cs="Arial"/>
          <w:lang w:val="tr-TR"/>
        </w:rPr>
      </w:pPr>
      <w:r w:rsidRPr="00132E4F">
        <w:rPr>
          <w:rFonts w:ascii="Arial" w:hAnsi="Arial" w:cs="Arial"/>
          <w:lang w:val="tr-TR"/>
        </w:rPr>
        <w:t>(4) Tamamlanan dosya karar alınmak üzere Bakanlığa gönderilir.</w:t>
      </w:r>
    </w:p>
    <w:p w:rsidR="00132E4F" w:rsidRPr="00132E4F" w:rsidRDefault="00132E4F" w:rsidP="00132E4F">
      <w:pPr>
        <w:jc w:val="both"/>
        <w:rPr>
          <w:rFonts w:ascii="Arial" w:hAnsi="Arial" w:cs="Arial"/>
          <w:lang w:val="tr-TR"/>
        </w:rPr>
      </w:pPr>
      <w:r w:rsidRPr="00132E4F">
        <w:rPr>
          <w:rFonts w:ascii="Arial" w:hAnsi="Arial" w:cs="Arial"/>
          <w:lang w:val="tr-TR"/>
        </w:rPr>
        <w:t xml:space="preserve">(5) Kanunun 12 nci maddesinin birinci fıkrasının (b) ve (c) bentlerine göre vatandaşlığa alınacak kişilerin müracaatları, gerekli görülen hallerde Bakanlıkça alınır ve üçüncü fıkrada belirtilen belgelerden oluşan dosya düzenlenir. </w:t>
      </w:r>
    </w:p>
    <w:p w:rsidR="00132E4F" w:rsidRPr="00132E4F" w:rsidRDefault="00132E4F" w:rsidP="00132E4F">
      <w:pPr>
        <w:jc w:val="both"/>
        <w:rPr>
          <w:rFonts w:ascii="Arial" w:hAnsi="Arial" w:cs="Arial"/>
          <w:lang w:val="tr-TR"/>
        </w:rPr>
      </w:pPr>
      <w:r w:rsidRPr="00132E4F">
        <w:rPr>
          <w:rFonts w:ascii="Arial" w:hAnsi="Arial" w:cs="Arial"/>
          <w:lang w:val="tr-TR"/>
        </w:rPr>
        <w:t xml:space="preserve">(6) İkinci fıkrada belirtilen parasal değerlerin belirlenmesinde, tespit tarihindeki Türkiye Cumhuriyet Merkez Bankasının efektif satış kuru ve/veya çapraz döviz kuru esas alınır. </w:t>
      </w:r>
    </w:p>
    <w:p w:rsidR="00132E4F" w:rsidRPr="00132E4F" w:rsidRDefault="00132E4F" w:rsidP="00132E4F">
      <w:pPr>
        <w:jc w:val="both"/>
        <w:rPr>
          <w:rFonts w:ascii="Arial" w:hAnsi="Arial" w:cs="Arial"/>
          <w:lang w:val="tr-TR"/>
        </w:rPr>
      </w:pPr>
      <w:r w:rsidRPr="00132E4F">
        <w:rPr>
          <w:rFonts w:ascii="Arial" w:hAnsi="Arial" w:cs="Arial"/>
          <w:lang w:val="tr-TR"/>
        </w:rPr>
        <w:t>(7) İkinci fıkra kapsamında yapılacak vatandaşlık kazanma başvuruları ile ilgili süreci takip etmek amacıyla İçişleri Bakanlığı bünyesinde Çalışma ve Sosyal Güvenlik Bakanlığı, Çevre,  Şehircilik ve İklim Değişikliği Bakanlığı, Hazine ve Maliye Bakanlığı, Sanayi ve Teknoloji Bakanlığı temsilcilerinden oluşan bir komisyon kurulabilir.</w:t>
      </w:r>
    </w:p>
    <w:p w:rsidR="00132E4F" w:rsidRPr="00132E4F" w:rsidRDefault="00132E4F" w:rsidP="00132E4F">
      <w:pPr>
        <w:jc w:val="both"/>
        <w:rPr>
          <w:rFonts w:ascii="Arial" w:hAnsi="Arial" w:cs="Arial"/>
          <w:lang w:val="tr-TR"/>
        </w:rPr>
      </w:pPr>
      <w:r w:rsidRPr="00132E4F">
        <w:rPr>
          <w:rFonts w:ascii="Arial" w:hAnsi="Arial" w:cs="Arial"/>
          <w:lang w:val="tr-TR"/>
        </w:rPr>
        <w:t>(8) İkinci fıkra kapsamında yapılacak yatırım türleri arasında belirtilen süreyi tamamlamak amacıyla geçişkenlik mümkündür.</w:t>
      </w:r>
    </w:p>
    <w:p w:rsidR="00132E4F" w:rsidRPr="00132E4F" w:rsidRDefault="00132E4F" w:rsidP="00132E4F">
      <w:pPr>
        <w:jc w:val="both"/>
        <w:rPr>
          <w:rFonts w:ascii="Arial" w:hAnsi="Arial" w:cs="Arial"/>
          <w:lang w:val="tr-TR"/>
        </w:rPr>
      </w:pPr>
      <w:r w:rsidRPr="00132E4F">
        <w:rPr>
          <w:rFonts w:ascii="Arial" w:hAnsi="Arial" w:cs="Arial"/>
          <w:lang w:val="tr-TR"/>
        </w:rPr>
        <w:t>(9) İkinci fıkrada belirtilen kapsam ve tutarda yatırım şartlarının sağlanıp sağlanmadığının tespitinde uygulanacak usul ve esaslar, te</w:t>
      </w:r>
      <w:r>
        <w:rPr>
          <w:rFonts w:ascii="Arial" w:hAnsi="Arial" w:cs="Arial"/>
          <w:lang w:val="tr-TR"/>
        </w:rPr>
        <w:t>spiti yapan kurumca belirlenir.</w:t>
      </w:r>
    </w:p>
    <w:p w:rsidR="00132E4F" w:rsidRPr="00132E4F" w:rsidRDefault="00132E4F" w:rsidP="00132E4F">
      <w:pPr>
        <w:jc w:val="both"/>
        <w:rPr>
          <w:rFonts w:ascii="Arial" w:hAnsi="Arial" w:cs="Arial"/>
          <w:lang w:val="tr-TR"/>
        </w:rPr>
      </w:pPr>
      <w:r w:rsidRPr="00132E4F">
        <w:rPr>
          <w:rFonts w:ascii="Arial" w:hAnsi="Arial" w:cs="Arial"/>
          <w:lang w:val="tr-TR"/>
        </w:rPr>
        <w:t xml:space="preserve">(10) İkinci fıkranın (b), (ç), (d), (e) ve (f) bentlerinde belirtilen döviz tutarları işlem öncesinde Türkiye’de faaliyet gösteren bir bankaya ve bu bankaca da Merkez Bankasına satılır. Satım sonucu; ikinci fıkranın (ç) bendi </w:t>
      </w:r>
      <w:bookmarkStart w:id="0" w:name="_GoBack"/>
      <w:bookmarkEnd w:id="0"/>
      <w:r w:rsidRPr="00132E4F">
        <w:rPr>
          <w:rFonts w:ascii="Arial" w:hAnsi="Arial" w:cs="Arial"/>
          <w:lang w:val="tr-TR"/>
        </w:rPr>
        <w:t>gereğince elde dilen Türk Lirası tutarlar Türk Lirası mevduatta, ikinci fıkranın (d) bendi gereğince elde edilen Türk Lirası tutarlar Türk Lirası cinsinden Devlet borçlanma araçlarında, ikinci fıkranın (f) bendi gereğince elde edilen Türk Lirası tutarlar bireysel emeklilik sisteminde yer alan Sigortacılık ve Özel Emeklilik Düzenleme ve Denetleme Kurumu tarafından belirlenen fonlarda, üç yıl süre ile tutulur. Bu konuya ilişkin u</w:t>
      </w:r>
      <w:r w:rsidR="00CB6721">
        <w:rPr>
          <w:rFonts w:ascii="Arial" w:hAnsi="Arial" w:cs="Arial"/>
          <w:lang w:val="tr-TR"/>
        </w:rPr>
        <w:t>ygul</w:t>
      </w:r>
      <w:r w:rsidR="00242A7E">
        <w:rPr>
          <w:rFonts w:ascii="Arial" w:hAnsi="Arial" w:cs="Arial"/>
          <w:lang w:val="tr-TR"/>
        </w:rPr>
        <w:t>ama esasları Türkiye Cumhuriyet</w:t>
      </w:r>
      <w:r w:rsidR="00F1711D">
        <w:rPr>
          <w:rFonts w:ascii="Arial" w:hAnsi="Arial" w:cs="Arial"/>
          <w:lang w:val="tr-TR"/>
        </w:rPr>
        <w:t xml:space="preserve"> Merkez Bankasınca belirlenir.</w:t>
      </w:r>
    </w:p>
    <w:p w:rsidR="00132E4F" w:rsidRPr="00132E4F" w:rsidRDefault="00132E4F" w:rsidP="00132E4F">
      <w:pPr>
        <w:jc w:val="both"/>
        <w:rPr>
          <w:rFonts w:ascii="Arial" w:hAnsi="Arial" w:cs="Arial"/>
          <w:lang w:val="tr-TR"/>
        </w:rPr>
      </w:pPr>
    </w:p>
    <w:p w:rsidR="00132E4F" w:rsidRPr="00132E4F" w:rsidRDefault="00132E4F" w:rsidP="00132E4F">
      <w:pPr>
        <w:jc w:val="both"/>
        <w:rPr>
          <w:rFonts w:ascii="Arial" w:hAnsi="Arial" w:cs="Arial"/>
          <w:lang w:val="tr-TR"/>
        </w:rPr>
      </w:pPr>
    </w:p>
    <w:p w:rsidR="00132E4F" w:rsidRPr="00132E4F" w:rsidRDefault="00132E4F" w:rsidP="00132E4F">
      <w:pPr>
        <w:jc w:val="both"/>
        <w:rPr>
          <w:rFonts w:ascii="Arial" w:hAnsi="Arial" w:cs="Arial"/>
          <w:lang w:val="tr-TR"/>
        </w:rPr>
      </w:pPr>
      <w:r w:rsidRPr="00132E4F">
        <w:rPr>
          <w:rFonts w:ascii="Arial" w:hAnsi="Arial" w:cs="Arial"/>
          <w:lang w:val="tr-TR"/>
        </w:rPr>
        <w:t xml:space="preserve"> </w:t>
      </w:r>
    </w:p>
    <w:p w:rsidR="00132E4F" w:rsidRPr="00132E4F" w:rsidRDefault="00132E4F" w:rsidP="001D6AAE">
      <w:pPr>
        <w:jc w:val="both"/>
        <w:rPr>
          <w:rFonts w:ascii="Arial" w:hAnsi="Arial" w:cs="Arial"/>
          <w:lang w:val="tr-TR"/>
        </w:rPr>
      </w:pPr>
    </w:p>
    <w:sectPr w:rsidR="00132E4F" w:rsidRPr="00132E4F">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18" w:rsidRDefault="002B5E18" w:rsidP="001D6AAE">
      <w:pPr>
        <w:spacing w:after="0" w:line="240" w:lineRule="auto"/>
      </w:pPr>
      <w:r>
        <w:separator/>
      </w:r>
    </w:p>
  </w:endnote>
  <w:endnote w:type="continuationSeparator" w:id="0">
    <w:p w:rsidR="002B5E18" w:rsidRDefault="002B5E18" w:rsidP="001D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AE" w:rsidRPr="00A56AE9" w:rsidRDefault="00A56AE9" w:rsidP="00A56AE9">
    <w:pPr>
      <w:pStyle w:val="AltBilgi"/>
    </w:pPr>
    <w:fldSimple w:instr=" DOCPROPERTY bjFooterEvenPageDocProperty \* MERGEFORMAT " w:fldLock="1">
      <w:r w:rsidRPr="00A81FCB">
        <w:rPr>
          <w:rFonts w:ascii="Malgun Gothic" w:eastAsia="Malgun Gothic" w:hAnsi="Malgun Gothic"/>
          <w:b/>
          <w:bCs/>
          <w:color w:val="999999"/>
          <w:sz w:val="20"/>
          <w:szCs w:val="20"/>
          <w:lang w:val="tr-TR"/>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AE" w:rsidRPr="00A56AE9" w:rsidRDefault="00A56AE9" w:rsidP="00A56AE9">
    <w:pPr>
      <w:pStyle w:val="AltBilgi"/>
    </w:pPr>
    <w:fldSimple w:instr=" DOCPROPERTY bjFooterBothDocProperty \* MERGEFORMAT " w:fldLock="1">
      <w:r w:rsidRPr="00A81FCB">
        <w:rPr>
          <w:rFonts w:ascii="Malgun Gothic" w:eastAsia="Malgun Gothic" w:hAnsi="Malgun Gothic"/>
          <w:b/>
          <w:bCs/>
          <w:color w:val="999999"/>
          <w:sz w:val="20"/>
          <w:szCs w:val="20"/>
          <w:lang w:val="tr-TR"/>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AE" w:rsidRPr="00A56AE9" w:rsidRDefault="00A56AE9" w:rsidP="00A56AE9">
    <w:pPr>
      <w:pStyle w:val="AltBilgi"/>
    </w:pPr>
    <w:fldSimple w:instr=" DOCPROPERTY bjFooterFirstPageDocProperty \* MERGEFORMAT " w:fldLock="1">
      <w:r w:rsidRPr="00A81FCB">
        <w:rPr>
          <w:rFonts w:ascii="Malgun Gothic" w:eastAsia="Malgun Gothic" w:hAnsi="Malgun Gothic"/>
          <w:b/>
          <w:bCs/>
          <w:color w:val="999999"/>
          <w:sz w:val="20"/>
          <w:szCs w:val="20"/>
          <w:lang w:val="tr-TR"/>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18" w:rsidRDefault="002B5E18" w:rsidP="001D6AAE">
      <w:pPr>
        <w:spacing w:after="0" w:line="240" w:lineRule="auto"/>
      </w:pPr>
      <w:r>
        <w:separator/>
      </w:r>
    </w:p>
  </w:footnote>
  <w:footnote w:type="continuationSeparator" w:id="0">
    <w:p w:rsidR="002B5E18" w:rsidRDefault="002B5E18" w:rsidP="001D6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1D" w:rsidRDefault="00F171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1D" w:rsidRDefault="00F1711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11D" w:rsidRDefault="00F171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5E"/>
    <w:rsid w:val="00132E4F"/>
    <w:rsid w:val="001D6AAE"/>
    <w:rsid w:val="00242A7E"/>
    <w:rsid w:val="002B5E18"/>
    <w:rsid w:val="004435C4"/>
    <w:rsid w:val="005D35A4"/>
    <w:rsid w:val="00650642"/>
    <w:rsid w:val="006C245E"/>
    <w:rsid w:val="00A56AE9"/>
    <w:rsid w:val="00CB6721"/>
    <w:rsid w:val="00D62F42"/>
    <w:rsid w:val="00E020D6"/>
    <w:rsid w:val="00F1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3CBFD"/>
  <w15:chartTrackingRefBased/>
  <w15:docId w15:val="{C6FDB2C6-D581-48A8-BA48-0B5F947E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6AAE"/>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D6AAE"/>
  </w:style>
  <w:style w:type="paragraph" w:styleId="AltBilgi">
    <w:name w:val="footer"/>
    <w:basedOn w:val="Normal"/>
    <w:link w:val="AltBilgiChar"/>
    <w:uiPriority w:val="99"/>
    <w:unhideWhenUsed/>
    <w:rsid w:val="001D6AAE"/>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D6AAE"/>
  </w:style>
  <w:style w:type="paragraph" w:styleId="NormalWeb">
    <w:name w:val="Normal (Web)"/>
    <w:basedOn w:val="Normal"/>
    <w:uiPriority w:val="99"/>
    <w:semiHidden/>
    <w:unhideWhenUsed/>
    <w:rsid w:val="001D6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1D6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1D6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1D6A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1D6AAE"/>
  </w:style>
  <w:style w:type="character" w:customStyle="1" w:styleId="spelle">
    <w:name w:val="spelle"/>
    <w:basedOn w:val="VarsaylanParagrafYazTipi"/>
    <w:rsid w:val="001D6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0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5CA30933-1F01-4DC0-A537-237BC24415F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 SAKAOĞLU</dc:creator>
  <cp:keywords/>
  <dc:description/>
  <cp:lastModifiedBy>Seren SAKAOĞLU</cp:lastModifiedBy>
  <cp:revision>8</cp:revision>
  <cp:lastPrinted>2022-05-13T09:55:00Z</cp:lastPrinted>
  <dcterms:created xsi:type="dcterms:W3CDTF">2022-05-13T09:11:00Z</dcterms:created>
  <dcterms:modified xsi:type="dcterms:W3CDTF">2022-05-13T09:55:00Z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fc68beaf-6d65-4d47-b94a-4d4ea7afde6f</vt:lpwstr>
  </property>
  <property fmtid="{D5CDD505-2E9C-101B-9397-08002B2CF9AE}" pid="3" name="bjSaver">
    <vt:lpwstr>HLvm0QIY5oOAk++36evuxaw38xTdytxi</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