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4801C" w14:textId="1CD67F8A" w:rsidR="00417C31" w:rsidRDefault="00417C31" w:rsidP="00417C31">
      <w:pPr>
        <w:spacing w:line="276" w:lineRule="auto"/>
        <w:rPr>
          <w:rFonts w:ascii="Arial" w:hAnsi="Arial" w:cs="Arial"/>
          <w:b/>
          <w:noProof w:val="0"/>
          <w:kern w:val="0"/>
          <w:position w:val="0"/>
          <w:sz w:val="20"/>
          <w:szCs w:val="20"/>
          <w:lang w:eastAsia="tr-TR"/>
        </w:rPr>
      </w:pPr>
      <w:bookmarkStart w:id="0" w:name="_Toc105418632"/>
      <w:r>
        <w:rPr>
          <w:rFonts w:ascii="Arial" w:hAnsi="Arial" w:cs="Arial"/>
          <w:b/>
          <w:noProof w:val="0"/>
          <w:kern w:val="0"/>
          <w:position w:val="0"/>
          <w:sz w:val="20"/>
          <w:szCs w:val="20"/>
          <w:lang w:eastAsia="tr-TR"/>
        </w:rPr>
        <w:t xml:space="preserve">Resmi Gazete No: </w:t>
      </w:r>
      <w:r>
        <w:rPr>
          <w:rFonts w:ascii="Arial" w:hAnsi="Arial" w:cs="Arial"/>
          <w:noProof w:val="0"/>
          <w:kern w:val="0"/>
          <w:position w:val="0"/>
          <w:sz w:val="20"/>
          <w:szCs w:val="20"/>
          <w:lang w:eastAsia="tr-TR"/>
        </w:rPr>
        <w:t>3</w:t>
      </w:r>
      <w:r w:rsidR="00DB24D5">
        <w:rPr>
          <w:rFonts w:ascii="Arial" w:hAnsi="Arial" w:cs="Arial"/>
          <w:noProof w:val="0"/>
          <w:kern w:val="0"/>
          <w:position w:val="0"/>
          <w:sz w:val="20"/>
          <w:szCs w:val="20"/>
          <w:lang w:eastAsia="tr-TR"/>
        </w:rPr>
        <w:t>2476</w:t>
      </w:r>
    </w:p>
    <w:p w14:paraId="0E839408" w14:textId="21F05430" w:rsidR="00417C31" w:rsidRDefault="00417C31" w:rsidP="00417C31">
      <w:pPr>
        <w:spacing w:line="276" w:lineRule="auto"/>
        <w:rPr>
          <w:rFonts w:ascii="Arial" w:hAnsi="Arial" w:cs="Arial"/>
          <w:b/>
          <w:noProof w:val="0"/>
          <w:kern w:val="0"/>
          <w:position w:val="0"/>
          <w:sz w:val="20"/>
          <w:szCs w:val="20"/>
          <w:lang w:eastAsia="tr-TR"/>
        </w:rPr>
      </w:pPr>
      <w:r>
        <w:rPr>
          <w:rFonts w:ascii="Arial" w:hAnsi="Arial" w:cs="Arial"/>
          <w:b/>
          <w:noProof w:val="0"/>
          <w:kern w:val="0"/>
          <w:position w:val="0"/>
          <w:sz w:val="20"/>
          <w:szCs w:val="20"/>
          <w:lang w:eastAsia="tr-TR"/>
        </w:rPr>
        <w:t xml:space="preserve">Resmi Gazete Tarihi: </w:t>
      </w:r>
      <w:r w:rsidR="00DB24D5">
        <w:rPr>
          <w:rFonts w:ascii="Arial" w:hAnsi="Arial" w:cs="Arial"/>
          <w:noProof w:val="0"/>
          <w:kern w:val="0"/>
          <w:position w:val="0"/>
          <w:sz w:val="20"/>
          <w:szCs w:val="20"/>
          <w:lang w:eastAsia="tr-TR"/>
        </w:rPr>
        <w:t>1</w:t>
      </w:r>
      <w:r w:rsidRPr="005534CA">
        <w:rPr>
          <w:rFonts w:ascii="Arial" w:hAnsi="Arial" w:cs="Arial"/>
          <w:noProof w:val="0"/>
          <w:kern w:val="0"/>
          <w:position w:val="0"/>
          <w:sz w:val="20"/>
          <w:szCs w:val="20"/>
          <w:lang w:eastAsia="tr-TR"/>
        </w:rPr>
        <w:t xml:space="preserve"> </w:t>
      </w:r>
      <w:r w:rsidR="00DB24D5">
        <w:rPr>
          <w:rFonts w:ascii="Arial" w:hAnsi="Arial" w:cs="Arial"/>
          <w:noProof w:val="0"/>
          <w:kern w:val="0"/>
          <w:position w:val="0"/>
          <w:sz w:val="20"/>
          <w:szCs w:val="20"/>
          <w:lang w:eastAsia="tr-TR"/>
        </w:rPr>
        <w:t>Mart</w:t>
      </w:r>
      <w:r w:rsidRPr="005534CA">
        <w:rPr>
          <w:rFonts w:ascii="Arial" w:hAnsi="Arial" w:cs="Arial"/>
          <w:noProof w:val="0"/>
          <w:kern w:val="0"/>
          <w:position w:val="0"/>
          <w:sz w:val="20"/>
          <w:szCs w:val="20"/>
          <w:lang w:eastAsia="tr-TR"/>
        </w:rPr>
        <w:t xml:space="preserve"> 20</w:t>
      </w:r>
      <w:r>
        <w:rPr>
          <w:rFonts w:ascii="Arial" w:hAnsi="Arial" w:cs="Arial"/>
          <w:noProof w:val="0"/>
          <w:kern w:val="0"/>
          <w:position w:val="0"/>
          <w:sz w:val="20"/>
          <w:szCs w:val="20"/>
          <w:lang w:eastAsia="tr-TR"/>
        </w:rPr>
        <w:t>2</w:t>
      </w:r>
      <w:r w:rsidR="00DB24D5">
        <w:rPr>
          <w:rFonts w:ascii="Arial" w:hAnsi="Arial" w:cs="Arial"/>
          <w:noProof w:val="0"/>
          <w:kern w:val="0"/>
          <w:position w:val="0"/>
          <w:sz w:val="20"/>
          <w:szCs w:val="20"/>
          <w:lang w:eastAsia="tr-TR"/>
        </w:rPr>
        <w:t>4</w:t>
      </w:r>
      <w:r w:rsidRPr="005534CA">
        <w:rPr>
          <w:rFonts w:ascii="Arial" w:hAnsi="Arial" w:cs="Arial"/>
          <w:noProof w:val="0"/>
          <w:kern w:val="0"/>
          <w:position w:val="0"/>
          <w:sz w:val="20"/>
          <w:szCs w:val="20"/>
          <w:lang w:eastAsia="tr-TR"/>
        </w:rPr>
        <w:t xml:space="preserve"> </w:t>
      </w:r>
      <w:r w:rsidR="00DB24D5">
        <w:rPr>
          <w:rFonts w:ascii="Arial" w:hAnsi="Arial" w:cs="Arial"/>
          <w:noProof w:val="0"/>
          <w:kern w:val="0"/>
          <w:position w:val="0"/>
          <w:sz w:val="20"/>
          <w:szCs w:val="20"/>
          <w:lang w:eastAsia="tr-TR"/>
        </w:rPr>
        <w:t>Cuma</w:t>
      </w:r>
    </w:p>
    <w:p w14:paraId="68D2B2EC" w14:textId="77777777" w:rsidR="00417C31" w:rsidRPr="00DD24CB" w:rsidRDefault="00417C31" w:rsidP="00417C31">
      <w:pPr>
        <w:spacing w:line="276" w:lineRule="auto"/>
        <w:rPr>
          <w:rFonts w:ascii="Arial" w:hAnsi="Arial" w:cs="Arial"/>
          <w:b/>
          <w:noProof w:val="0"/>
          <w:kern w:val="0"/>
          <w:position w:val="0"/>
          <w:sz w:val="20"/>
          <w:szCs w:val="20"/>
          <w:lang w:eastAsia="tr-TR"/>
        </w:rPr>
      </w:pPr>
    </w:p>
    <w:p w14:paraId="7626F487" w14:textId="77777777" w:rsidR="00417C31" w:rsidRDefault="00417C31" w:rsidP="00417C31">
      <w:pPr>
        <w:tabs>
          <w:tab w:val="left" w:pos="567"/>
        </w:tabs>
        <w:spacing w:line="276" w:lineRule="auto"/>
        <w:rPr>
          <w:rFonts w:ascii="Arial" w:hAnsi="Arial" w:cs="Arial"/>
          <w:b/>
          <w:noProof w:val="0"/>
          <w:kern w:val="0"/>
          <w:position w:val="0"/>
          <w:sz w:val="20"/>
          <w:szCs w:val="20"/>
          <w:u w:val="single"/>
          <w:lang w:eastAsia="tr-TR"/>
        </w:rPr>
      </w:pPr>
      <w:r>
        <w:rPr>
          <w:rFonts w:ascii="Arial" w:hAnsi="Arial" w:cs="Arial"/>
          <w:b/>
          <w:noProof w:val="0"/>
          <w:kern w:val="0"/>
          <w:position w:val="0"/>
          <w:sz w:val="20"/>
          <w:szCs w:val="20"/>
          <w:u w:val="single"/>
          <w:lang w:eastAsia="tr-TR"/>
        </w:rPr>
        <w:t>Sermaye Piyasası Kurulundan</w:t>
      </w:r>
      <w:r w:rsidRPr="003D070B">
        <w:rPr>
          <w:rFonts w:ascii="Arial" w:hAnsi="Arial" w:cs="Arial"/>
          <w:b/>
          <w:noProof w:val="0"/>
          <w:kern w:val="0"/>
          <w:position w:val="0"/>
          <w:sz w:val="20"/>
          <w:szCs w:val="20"/>
          <w:u w:val="single"/>
          <w:lang w:eastAsia="tr-TR"/>
        </w:rPr>
        <w:t>:</w:t>
      </w:r>
    </w:p>
    <w:p w14:paraId="72F155AE" w14:textId="77777777" w:rsidR="00417C31" w:rsidRDefault="00417C31" w:rsidP="00417C31">
      <w:pPr>
        <w:pStyle w:val="Heading2"/>
      </w:pPr>
    </w:p>
    <w:p w14:paraId="7628D6B4" w14:textId="57904A23" w:rsidR="00417C31" w:rsidRDefault="00417C31" w:rsidP="00417C31">
      <w:pPr>
        <w:pStyle w:val="Heading2"/>
      </w:pPr>
      <w:r w:rsidRPr="00B55F73">
        <w:t>YATIRIM FONLARINA İLİŞKİN ESASLAR TEBLİĞİ (III-52.1)’NDE</w:t>
      </w:r>
      <w:r>
        <w:t xml:space="preserve"> DEĞİŞİKLİK </w:t>
      </w:r>
      <w:r w:rsidRPr="00B55F73">
        <w:t>YAPILMASINA DAİR TEBLİĞ (III-52.1.</w:t>
      </w:r>
      <w:r w:rsidR="00DB24D5">
        <w:t>e</w:t>
      </w:r>
      <w:r w:rsidRPr="00B55F73">
        <w:t>)</w:t>
      </w:r>
      <w:bookmarkEnd w:id="0"/>
    </w:p>
    <w:p w14:paraId="647ED84E" w14:textId="77777777" w:rsidR="00417C31" w:rsidRPr="00417C31" w:rsidRDefault="00417C31" w:rsidP="00417C31">
      <w:pPr>
        <w:rPr>
          <w:lang w:eastAsia="tr-TR"/>
        </w:rPr>
      </w:pPr>
    </w:p>
    <w:p w14:paraId="2F597A46" w14:textId="77777777" w:rsidR="00DB24D5" w:rsidRPr="00DB24D5" w:rsidRDefault="00417C31" w:rsidP="00DB24D5">
      <w:pPr>
        <w:widowControl w:val="0"/>
        <w:spacing w:line="276" w:lineRule="auto"/>
        <w:ind w:right="170"/>
        <w:rPr>
          <w:rFonts w:ascii="Arial" w:eastAsiaTheme="minorHAnsi" w:hAnsi="Arial" w:cs="Arial"/>
          <w:noProof w:val="0"/>
          <w:color w:val="000000"/>
          <w:position w:val="0"/>
          <w:sz w:val="20"/>
          <w:szCs w:val="20"/>
        </w:rPr>
      </w:pPr>
      <w:r w:rsidRPr="00417C31">
        <w:rPr>
          <w:rFonts w:ascii="Arial" w:eastAsiaTheme="minorHAnsi" w:hAnsi="Arial" w:cs="Arial"/>
          <w:b/>
          <w:noProof w:val="0"/>
          <w:color w:val="000000"/>
          <w:position w:val="0"/>
          <w:sz w:val="20"/>
          <w:szCs w:val="20"/>
        </w:rPr>
        <w:t>MADDE 1 – </w:t>
      </w:r>
      <w:r w:rsidR="00DB24D5" w:rsidRPr="00DB24D5">
        <w:rPr>
          <w:rFonts w:ascii="Arial" w:eastAsiaTheme="minorHAnsi" w:hAnsi="Arial" w:cs="Arial"/>
          <w:noProof w:val="0"/>
          <w:color w:val="000000"/>
          <w:position w:val="0"/>
          <w:sz w:val="20"/>
          <w:szCs w:val="20"/>
        </w:rPr>
        <w:t>9/7/2013 tarihli ve 28702 sayılı Resmî Gazete’de yayımlanan Yatırım Fonlarına İlişkin Esaslar Tebliği (III-52.1)’nin 11 inci maddesinin üçüncü fıkrası aşağıdaki şekilde değiştirilmiştir.</w:t>
      </w:r>
    </w:p>
    <w:p w14:paraId="16B4ACDE" w14:textId="77777777" w:rsidR="00DB24D5" w:rsidRPr="00DB24D5" w:rsidRDefault="00DB24D5" w:rsidP="00DB24D5">
      <w:pPr>
        <w:widowControl w:val="0"/>
        <w:spacing w:line="276" w:lineRule="auto"/>
        <w:ind w:right="170"/>
        <w:rPr>
          <w:rFonts w:ascii="Arial" w:eastAsiaTheme="minorHAnsi" w:hAnsi="Arial" w:cs="Arial"/>
          <w:noProof w:val="0"/>
          <w:color w:val="000000"/>
          <w:position w:val="0"/>
          <w:sz w:val="20"/>
          <w:szCs w:val="20"/>
        </w:rPr>
      </w:pPr>
    </w:p>
    <w:p w14:paraId="4A207BAE" w14:textId="7307F485" w:rsidR="00DB24D5" w:rsidRDefault="00DB24D5" w:rsidP="00DB24D5">
      <w:pPr>
        <w:widowControl w:val="0"/>
        <w:spacing w:line="276" w:lineRule="auto"/>
        <w:ind w:right="170"/>
        <w:rPr>
          <w:rFonts w:ascii="Arial" w:eastAsiaTheme="minorHAnsi" w:hAnsi="Arial" w:cs="Arial"/>
          <w:noProof w:val="0"/>
          <w:color w:val="000000"/>
          <w:position w:val="0"/>
          <w:sz w:val="20"/>
          <w:szCs w:val="20"/>
        </w:rPr>
      </w:pPr>
      <w:r w:rsidRPr="00DB24D5">
        <w:rPr>
          <w:rFonts w:ascii="Arial" w:eastAsiaTheme="minorHAnsi" w:hAnsi="Arial" w:cs="Arial"/>
          <w:noProof w:val="0"/>
          <w:color w:val="000000"/>
          <w:position w:val="0"/>
          <w:sz w:val="20"/>
          <w:szCs w:val="20"/>
        </w:rPr>
        <w:t xml:space="preserve"> “(3) Katılma paylarının ihraç edilebilmesi için fon izahnamesinin Kurul tarafından onaylanması gereklidir. İzahnamede bulunması gereken asgari unsurlar Ek-2’de yer almaktadır. Şu kadar ki serbest fonlara ilişkin hükümler saklıdır.”</w:t>
      </w:r>
    </w:p>
    <w:p w14:paraId="133C9033" w14:textId="77777777" w:rsidR="00DB24D5" w:rsidRDefault="00DB24D5" w:rsidP="00DB24D5">
      <w:pPr>
        <w:widowControl w:val="0"/>
        <w:spacing w:line="276" w:lineRule="auto"/>
        <w:ind w:right="170"/>
        <w:rPr>
          <w:rFonts w:ascii="Arial" w:eastAsiaTheme="minorHAnsi" w:hAnsi="Arial" w:cs="Arial"/>
          <w:noProof w:val="0"/>
          <w:color w:val="000000"/>
          <w:position w:val="0"/>
          <w:sz w:val="20"/>
          <w:szCs w:val="20"/>
        </w:rPr>
      </w:pPr>
    </w:p>
    <w:p w14:paraId="16ED2773" w14:textId="77777777" w:rsidR="00DB24D5" w:rsidRPr="00DB24D5" w:rsidRDefault="00417C31" w:rsidP="00DB24D5">
      <w:pPr>
        <w:widowControl w:val="0"/>
        <w:spacing w:line="276" w:lineRule="auto"/>
        <w:ind w:right="170"/>
        <w:rPr>
          <w:rFonts w:ascii="Arial" w:eastAsiaTheme="minorHAnsi" w:hAnsi="Arial" w:cs="Arial"/>
          <w:noProof w:val="0"/>
          <w:color w:val="000000"/>
          <w:position w:val="0"/>
          <w:sz w:val="20"/>
          <w:szCs w:val="20"/>
        </w:rPr>
      </w:pPr>
      <w:r w:rsidRPr="00417C31">
        <w:rPr>
          <w:rFonts w:ascii="Arial" w:eastAsiaTheme="minorHAnsi" w:hAnsi="Arial" w:cs="Arial"/>
          <w:b/>
          <w:noProof w:val="0"/>
          <w:color w:val="000000"/>
          <w:position w:val="0"/>
          <w:sz w:val="20"/>
          <w:szCs w:val="20"/>
        </w:rPr>
        <w:t>MADDE 2 – </w:t>
      </w:r>
      <w:r w:rsidR="00DB24D5" w:rsidRPr="00DB24D5">
        <w:rPr>
          <w:rFonts w:ascii="Arial" w:eastAsiaTheme="minorHAnsi" w:hAnsi="Arial" w:cs="Arial"/>
          <w:noProof w:val="0"/>
          <w:color w:val="000000"/>
          <w:position w:val="0"/>
          <w:sz w:val="20"/>
          <w:szCs w:val="20"/>
        </w:rPr>
        <w:t>Aynı Tebliğin 25 inci maddesinin birinci, ikinci, yedinci, sekizinci ve on birinci fıkraları aşağıdaki şekilde değiştirilmiş ve aynı maddeye aşağıdaki fıkralar eklenmiştir.</w:t>
      </w:r>
    </w:p>
    <w:p w14:paraId="230F20C6" w14:textId="77777777" w:rsidR="00DB24D5" w:rsidRPr="00DB24D5" w:rsidRDefault="00DB24D5" w:rsidP="00DB24D5">
      <w:pPr>
        <w:widowControl w:val="0"/>
        <w:spacing w:line="276" w:lineRule="auto"/>
        <w:ind w:right="170"/>
        <w:rPr>
          <w:rFonts w:ascii="Arial" w:eastAsiaTheme="minorHAnsi" w:hAnsi="Arial" w:cs="Arial"/>
          <w:noProof w:val="0"/>
          <w:color w:val="000000"/>
          <w:position w:val="0"/>
          <w:sz w:val="20"/>
          <w:szCs w:val="20"/>
        </w:rPr>
      </w:pPr>
    </w:p>
    <w:p w14:paraId="16691609" w14:textId="77777777" w:rsidR="00DB24D5" w:rsidRPr="00DB24D5" w:rsidRDefault="00DB24D5" w:rsidP="00DB24D5">
      <w:pPr>
        <w:widowControl w:val="0"/>
        <w:spacing w:line="276" w:lineRule="auto"/>
        <w:ind w:right="170"/>
        <w:rPr>
          <w:rFonts w:ascii="Arial" w:eastAsiaTheme="minorHAnsi" w:hAnsi="Arial" w:cs="Arial"/>
          <w:noProof w:val="0"/>
          <w:color w:val="000000"/>
          <w:position w:val="0"/>
          <w:sz w:val="20"/>
          <w:szCs w:val="20"/>
        </w:rPr>
      </w:pPr>
      <w:r w:rsidRPr="00DB24D5">
        <w:rPr>
          <w:rFonts w:ascii="Arial" w:eastAsiaTheme="minorHAnsi" w:hAnsi="Arial" w:cs="Arial"/>
          <w:noProof w:val="0"/>
          <w:color w:val="000000"/>
          <w:position w:val="0"/>
          <w:sz w:val="20"/>
          <w:szCs w:val="20"/>
        </w:rPr>
        <w:t>“(1) Serbest fonlar bu Tebliğin 17 ila 24 üncü maddelerinde yer alan portföy ve işlem sınırlamalarına tabi olmaksızın fonun KAP sayfasında yer alan yatırım stratejileri ve limitleri dahilinde yatırım yapabilirler.</w:t>
      </w:r>
    </w:p>
    <w:p w14:paraId="587F2365" w14:textId="77777777" w:rsidR="00DB24D5" w:rsidRPr="00DB24D5" w:rsidRDefault="00DB24D5" w:rsidP="00DB24D5">
      <w:pPr>
        <w:widowControl w:val="0"/>
        <w:spacing w:line="276" w:lineRule="auto"/>
        <w:ind w:right="170"/>
        <w:rPr>
          <w:rFonts w:ascii="Arial" w:eastAsiaTheme="minorHAnsi" w:hAnsi="Arial" w:cs="Arial"/>
          <w:noProof w:val="0"/>
          <w:color w:val="000000"/>
          <w:position w:val="0"/>
          <w:sz w:val="20"/>
          <w:szCs w:val="20"/>
        </w:rPr>
      </w:pPr>
    </w:p>
    <w:p w14:paraId="207DC883" w14:textId="77777777" w:rsidR="00DB24D5" w:rsidRPr="00DB24D5" w:rsidRDefault="00DB24D5" w:rsidP="00DB24D5">
      <w:pPr>
        <w:widowControl w:val="0"/>
        <w:spacing w:line="276" w:lineRule="auto"/>
        <w:ind w:right="170"/>
        <w:rPr>
          <w:rFonts w:ascii="Arial" w:eastAsiaTheme="minorHAnsi" w:hAnsi="Arial" w:cs="Arial"/>
          <w:noProof w:val="0"/>
          <w:color w:val="000000"/>
          <w:position w:val="0"/>
          <w:sz w:val="20"/>
          <w:szCs w:val="20"/>
        </w:rPr>
      </w:pPr>
      <w:r w:rsidRPr="00DB24D5">
        <w:rPr>
          <w:rFonts w:ascii="Arial" w:eastAsiaTheme="minorHAnsi" w:hAnsi="Arial" w:cs="Arial"/>
          <w:noProof w:val="0"/>
          <w:color w:val="000000"/>
          <w:position w:val="0"/>
          <w:sz w:val="20"/>
          <w:szCs w:val="20"/>
        </w:rPr>
        <w:t>(2) Payları serbest fonların portföylerine alınacak yabancı fonlar için ilgili otoriteden izin alınmış olma şartı aranır. Bu kapsamda, hangi ülkelerde kurulu fonların portföye alınabileceğine fonun KAP sayfasında ilan edilen yatırım stratejisinde yer verilir. Kurul serbest fonların portföylerine alınacak yabancı fon paylarına ilişkin kısıtlamalar getirebilir.”</w:t>
      </w:r>
    </w:p>
    <w:p w14:paraId="148215DF" w14:textId="77777777" w:rsidR="00DB24D5" w:rsidRPr="00DB24D5" w:rsidRDefault="00DB24D5" w:rsidP="00DB24D5">
      <w:pPr>
        <w:widowControl w:val="0"/>
        <w:spacing w:line="276" w:lineRule="auto"/>
        <w:ind w:right="170"/>
        <w:rPr>
          <w:rFonts w:ascii="Arial" w:eastAsiaTheme="minorHAnsi" w:hAnsi="Arial" w:cs="Arial"/>
          <w:noProof w:val="0"/>
          <w:color w:val="000000"/>
          <w:position w:val="0"/>
          <w:sz w:val="20"/>
          <w:szCs w:val="20"/>
        </w:rPr>
      </w:pPr>
    </w:p>
    <w:p w14:paraId="5D8DBC0A" w14:textId="77777777" w:rsidR="00DB24D5" w:rsidRPr="00DB24D5" w:rsidRDefault="00DB24D5" w:rsidP="00DB24D5">
      <w:pPr>
        <w:widowControl w:val="0"/>
        <w:spacing w:line="276" w:lineRule="auto"/>
        <w:ind w:right="170"/>
        <w:rPr>
          <w:rFonts w:ascii="Arial" w:eastAsiaTheme="minorHAnsi" w:hAnsi="Arial" w:cs="Arial"/>
          <w:noProof w:val="0"/>
          <w:color w:val="000000"/>
          <w:position w:val="0"/>
          <w:sz w:val="20"/>
          <w:szCs w:val="20"/>
        </w:rPr>
      </w:pPr>
      <w:r w:rsidRPr="00DB24D5">
        <w:rPr>
          <w:rFonts w:ascii="Arial" w:eastAsiaTheme="minorHAnsi" w:hAnsi="Arial" w:cs="Arial"/>
          <w:noProof w:val="0"/>
          <w:color w:val="000000"/>
          <w:position w:val="0"/>
          <w:sz w:val="20"/>
          <w:szCs w:val="20"/>
        </w:rPr>
        <w:t>“(7) Serbest fonların portföyüne bu Tebliğin 3 üncü maddesinin birinci fıkrasının (ş) bendinde tanımlanan türev araçların yanı sıra swap sözleşmeleri de dahil edilebilir. Serbest fonların portföylerinde yer alan vadeli işlem ve opsiyon sözleşmeleri ile swap sözleşmeleri nedeniyle maruz kalınan risklere ilişkin limitlere fonun KAP sayfasında yer verilir. Limitlerin aşılması halinde kurucunun yönetim kurulu tarafından limitlere uyumun sağlanması amacıyla gerekli tedbirler alınır ve fonun KAP sayfasında ilan edilir.</w:t>
      </w:r>
    </w:p>
    <w:p w14:paraId="2173B608" w14:textId="77777777" w:rsidR="00DB24D5" w:rsidRPr="00DB24D5" w:rsidRDefault="00DB24D5" w:rsidP="00DB24D5">
      <w:pPr>
        <w:widowControl w:val="0"/>
        <w:spacing w:line="276" w:lineRule="auto"/>
        <w:ind w:right="170"/>
        <w:rPr>
          <w:rFonts w:ascii="Arial" w:eastAsiaTheme="minorHAnsi" w:hAnsi="Arial" w:cs="Arial"/>
          <w:noProof w:val="0"/>
          <w:color w:val="000000"/>
          <w:position w:val="0"/>
          <w:sz w:val="20"/>
          <w:szCs w:val="20"/>
        </w:rPr>
      </w:pPr>
    </w:p>
    <w:p w14:paraId="6F1B280C" w14:textId="77777777" w:rsidR="00DB24D5" w:rsidRPr="00DB24D5" w:rsidRDefault="00DB24D5" w:rsidP="00DB24D5">
      <w:pPr>
        <w:widowControl w:val="0"/>
        <w:spacing w:line="276" w:lineRule="auto"/>
        <w:ind w:right="170"/>
        <w:rPr>
          <w:rFonts w:ascii="Arial" w:eastAsiaTheme="minorHAnsi" w:hAnsi="Arial" w:cs="Arial"/>
          <w:noProof w:val="0"/>
          <w:color w:val="000000"/>
          <w:position w:val="0"/>
          <w:sz w:val="20"/>
          <w:szCs w:val="20"/>
        </w:rPr>
      </w:pPr>
      <w:r w:rsidRPr="00DB24D5">
        <w:rPr>
          <w:rFonts w:ascii="Arial" w:eastAsiaTheme="minorHAnsi" w:hAnsi="Arial" w:cs="Arial"/>
          <w:noProof w:val="0"/>
          <w:color w:val="000000"/>
          <w:position w:val="0"/>
          <w:sz w:val="20"/>
          <w:szCs w:val="20"/>
        </w:rPr>
        <w:t>(8) Yatırımcıların yatırım yapma kararını etkileyebilecek ve önceden bilgi sahibi olunmasını gerektirecek nitelikteki izahname değişikliklerine ilişkin duyurular değişikliklerin yürürlüğe giriş tarihinden en az 30 gün önce fonun KAP sayfasında ilan edilir.”</w:t>
      </w:r>
    </w:p>
    <w:p w14:paraId="7FDC37B6" w14:textId="77777777" w:rsidR="00DB24D5" w:rsidRPr="00DB24D5" w:rsidRDefault="00DB24D5" w:rsidP="00DB24D5">
      <w:pPr>
        <w:widowControl w:val="0"/>
        <w:spacing w:line="276" w:lineRule="auto"/>
        <w:ind w:right="170"/>
        <w:rPr>
          <w:rFonts w:ascii="Arial" w:eastAsiaTheme="minorHAnsi" w:hAnsi="Arial" w:cs="Arial"/>
          <w:noProof w:val="0"/>
          <w:color w:val="000000"/>
          <w:position w:val="0"/>
          <w:sz w:val="20"/>
          <w:szCs w:val="20"/>
        </w:rPr>
      </w:pPr>
    </w:p>
    <w:p w14:paraId="3E523BED" w14:textId="77777777" w:rsidR="00DB24D5" w:rsidRPr="00DB24D5" w:rsidRDefault="00DB24D5" w:rsidP="00DB24D5">
      <w:pPr>
        <w:widowControl w:val="0"/>
        <w:spacing w:line="276" w:lineRule="auto"/>
        <w:ind w:right="170"/>
        <w:rPr>
          <w:rFonts w:ascii="Arial" w:eastAsiaTheme="minorHAnsi" w:hAnsi="Arial" w:cs="Arial"/>
          <w:noProof w:val="0"/>
          <w:color w:val="000000"/>
          <w:position w:val="0"/>
          <w:sz w:val="20"/>
          <w:szCs w:val="20"/>
        </w:rPr>
      </w:pPr>
      <w:r w:rsidRPr="00DB24D5">
        <w:rPr>
          <w:rFonts w:ascii="Arial" w:eastAsiaTheme="minorHAnsi" w:hAnsi="Arial" w:cs="Arial"/>
          <w:noProof w:val="0"/>
          <w:color w:val="000000"/>
          <w:position w:val="0"/>
          <w:sz w:val="20"/>
          <w:szCs w:val="20"/>
        </w:rPr>
        <w:t>“(11) Serbest fonların KAP sayfasında ilan edilen katılma payı alım satım esaslarında katılma paylarının fona iadesi için pay fiyatlarının ilan süresinden daha farklı ve uzun süreler belirlenebilir.”</w:t>
      </w:r>
    </w:p>
    <w:p w14:paraId="73D1C1D8" w14:textId="77777777" w:rsidR="00DB24D5" w:rsidRPr="00DB24D5" w:rsidRDefault="00DB24D5" w:rsidP="00DB24D5">
      <w:pPr>
        <w:widowControl w:val="0"/>
        <w:spacing w:line="276" w:lineRule="auto"/>
        <w:ind w:right="170"/>
        <w:rPr>
          <w:rFonts w:ascii="Arial" w:eastAsiaTheme="minorHAnsi" w:hAnsi="Arial" w:cs="Arial"/>
          <w:noProof w:val="0"/>
          <w:color w:val="000000"/>
          <w:position w:val="0"/>
          <w:sz w:val="20"/>
          <w:szCs w:val="20"/>
        </w:rPr>
      </w:pPr>
    </w:p>
    <w:p w14:paraId="51067800" w14:textId="77777777" w:rsidR="00DB24D5" w:rsidRPr="00DB24D5" w:rsidRDefault="00DB24D5" w:rsidP="00DB24D5">
      <w:pPr>
        <w:widowControl w:val="0"/>
        <w:spacing w:line="276" w:lineRule="auto"/>
        <w:ind w:right="170"/>
        <w:rPr>
          <w:rFonts w:ascii="Arial" w:eastAsiaTheme="minorHAnsi" w:hAnsi="Arial" w:cs="Arial"/>
          <w:noProof w:val="0"/>
          <w:color w:val="000000"/>
          <w:position w:val="0"/>
          <w:sz w:val="20"/>
          <w:szCs w:val="20"/>
        </w:rPr>
      </w:pPr>
      <w:r w:rsidRPr="00DB24D5">
        <w:rPr>
          <w:rFonts w:ascii="Arial" w:eastAsiaTheme="minorHAnsi" w:hAnsi="Arial" w:cs="Arial"/>
          <w:noProof w:val="0"/>
          <w:color w:val="000000"/>
          <w:position w:val="0"/>
          <w:sz w:val="20"/>
          <w:szCs w:val="20"/>
        </w:rPr>
        <w:t xml:space="preserve"> “(14) Serbest fonların izahnamesinde yalnızca Ek-2’nin (a), (b) ve (ğ) bentlerinde yer verilen unsurlar yer alır. Diğer unsurlara ilişkin bilgiler, karşılaştırma ölçütü veya eşik değerin belirlenme esasları ile fon yönetim ücreti oranı fonun KAP sayfasında ilan edilir. Kurucu, bu bilgilerin Kurul düzenlemelerine uyumundan, içtüzük ve izahname ile tutarlılığından, içeriğinin doğruluğundan, güncelliğinin sağlanmasından ve yanlış, yanıltıcı veya eksik bilgilerden kaynaklanan zararlardan sorumludur.</w:t>
      </w:r>
    </w:p>
    <w:p w14:paraId="00366DA6" w14:textId="77777777" w:rsidR="00DB24D5" w:rsidRPr="00DB24D5" w:rsidRDefault="00DB24D5" w:rsidP="00DB24D5">
      <w:pPr>
        <w:widowControl w:val="0"/>
        <w:spacing w:line="276" w:lineRule="auto"/>
        <w:ind w:right="170"/>
        <w:rPr>
          <w:rFonts w:ascii="Arial" w:eastAsiaTheme="minorHAnsi" w:hAnsi="Arial" w:cs="Arial"/>
          <w:noProof w:val="0"/>
          <w:color w:val="000000"/>
          <w:position w:val="0"/>
          <w:sz w:val="20"/>
          <w:szCs w:val="20"/>
        </w:rPr>
      </w:pPr>
    </w:p>
    <w:p w14:paraId="43191E05" w14:textId="77777777" w:rsidR="00DB24D5" w:rsidRPr="00DB24D5" w:rsidRDefault="00DB24D5" w:rsidP="00DB24D5">
      <w:pPr>
        <w:widowControl w:val="0"/>
        <w:spacing w:line="276" w:lineRule="auto"/>
        <w:ind w:right="170"/>
        <w:rPr>
          <w:rFonts w:ascii="Arial" w:eastAsiaTheme="minorHAnsi" w:hAnsi="Arial" w:cs="Arial"/>
          <w:noProof w:val="0"/>
          <w:color w:val="000000"/>
          <w:position w:val="0"/>
          <w:sz w:val="20"/>
          <w:szCs w:val="20"/>
        </w:rPr>
      </w:pPr>
      <w:r w:rsidRPr="00DB24D5">
        <w:rPr>
          <w:rFonts w:ascii="Arial" w:eastAsiaTheme="minorHAnsi" w:hAnsi="Arial" w:cs="Arial"/>
          <w:noProof w:val="0"/>
          <w:color w:val="000000"/>
          <w:position w:val="0"/>
          <w:sz w:val="20"/>
          <w:szCs w:val="20"/>
        </w:rPr>
        <w:t>(15) Bu Tebliğin diğer madde hükümlerinde fon izahnamesinde yer verilmesi öngörülen bilgilerin serbest fonlar tarafından fonun KAP sayfasında ilan edilmesi yeterlidir.</w:t>
      </w:r>
    </w:p>
    <w:p w14:paraId="35A17FCF" w14:textId="77777777" w:rsidR="00DB24D5" w:rsidRPr="00DB24D5" w:rsidRDefault="00DB24D5" w:rsidP="00DB24D5">
      <w:pPr>
        <w:widowControl w:val="0"/>
        <w:spacing w:line="276" w:lineRule="auto"/>
        <w:ind w:right="170"/>
        <w:rPr>
          <w:rFonts w:ascii="Arial" w:eastAsiaTheme="minorHAnsi" w:hAnsi="Arial" w:cs="Arial"/>
          <w:noProof w:val="0"/>
          <w:color w:val="000000"/>
          <w:position w:val="0"/>
          <w:sz w:val="20"/>
          <w:szCs w:val="20"/>
        </w:rPr>
      </w:pPr>
    </w:p>
    <w:p w14:paraId="75B41EDF" w14:textId="11ED8ABC" w:rsidR="00417C31" w:rsidRDefault="00DB24D5" w:rsidP="00DB24D5">
      <w:pPr>
        <w:widowControl w:val="0"/>
        <w:spacing w:line="276" w:lineRule="auto"/>
        <w:ind w:right="170"/>
        <w:rPr>
          <w:rFonts w:ascii="Arial" w:eastAsiaTheme="minorHAnsi" w:hAnsi="Arial" w:cs="Arial"/>
          <w:noProof w:val="0"/>
          <w:color w:val="000000"/>
          <w:position w:val="0"/>
          <w:sz w:val="20"/>
          <w:szCs w:val="20"/>
        </w:rPr>
      </w:pPr>
      <w:r w:rsidRPr="00DB24D5">
        <w:rPr>
          <w:rFonts w:ascii="Arial" w:eastAsiaTheme="minorHAnsi" w:hAnsi="Arial" w:cs="Arial"/>
          <w:noProof w:val="0"/>
          <w:color w:val="000000"/>
          <w:position w:val="0"/>
          <w:sz w:val="20"/>
          <w:szCs w:val="20"/>
        </w:rPr>
        <w:t xml:space="preserve">(16) Fonun yatırım stratejisi, karşılaştırma ölçütü veya eşik değer, yatırım amacı, yatırım sınırlamaları, riskleri, katılma paylarının alım satımı, fona katılma ve fondan ayrılma şartları ile fon yönetim ücreti </w:t>
      </w:r>
      <w:r w:rsidRPr="00DB24D5">
        <w:rPr>
          <w:rFonts w:ascii="Arial" w:eastAsiaTheme="minorHAnsi" w:hAnsi="Arial" w:cs="Arial"/>
          <w:noProof w:val="0"/>
          <w:color w:val="000000"/>
          <w:position w:val="0"/>
          <w:sz w:val="20"/>
          <w:szCs w:val="20"/>
        </w:rPr>
        <w:lastRenderedPageBreak/>
        <w:t>oranı ve risk limitlerinin artırılmasına ilişkin olarak KAP’ta ilan edilen bilgilerde değişiklik yapılabilmesi için yapılacak değişikliklere ilişkin duyurunun, değişikliğin yürürlüğe giriş tarihinden en az 30 gün önce fonun KAP sayfasında ilan edilmesi zorunludur. Şu kadar ki karşılaştırma ölçütü veya eşik değer, fon dönüşümleri haricinde sadece izleyen hesap döneminin başından itibaren geçerli olmak üzere değiştirilebilir.”</w:t>
      </w:r>
    </w:p>
    <w:p w14:paraId="60F0054B" w14:textId="77777777" w:rsidR="00DB24D5" w:rsidRPr="00417C31" w:rsidRDefault="00DB24D5" w:rsidP="00DB24D5">
      <w:pPr>
        <w:widowControl w:val="0"/>
        <w:spacing w:line="276" w:lineRule="auto"/>
        <w:ind w:right="170"/>
        <w:rPr>
          <w:rFonts w:ascii="Arial" w:eastAsiaTheme="minorHAnsi" w:hAnsi="Arial" w:cs="Arial"/>
          <w:b/>
          <w:noProof w:val="0"/>
          <w:color w:val="000000"/>
          <w:position w:val="0"/>
          <w:sz w:val="20"/>
          <w:szCs w:val="20"/>
        </w:rPr>
      </w:pPr>
    </w:p>
    <w:p w14:paraId="3B950DD9" w14:textId="77777777" w:rsidR="00DB24D5" w:rsidRPr="00DB24D5" w:rsidRDefault="00417C31" w:rsidP="00DB24D5">
      <w:pPr>
        <w:widowControl w:val="0"/>
        <w:spacing w:line="276" w:lineRule="auto"/>
        <w:ind w:right="170"/>
        <w:rPr>
          <w:rFonts w:ascii="Arial" w:eastAsiaTheme="minorHAnsi" w:hAnsi="Arial" w:cs="Arial"/>
          <w:noProof w:val="0"/>
          <w:color w:val="000000"/>
          <w:position w:val="0"/>
          <w:sz w:val="20"/>
          <w:szCs w:val="20"/>
        </w:rPr>
      </w:pPr>
      <w:r w:rsidRPr="00417C31">
        <w:rPr>
          <w:rFonts w:ascii="Arial" w:eastAsiaTheme="minorHAnsi" w:hAnsi="Arial" w:cs="Arial"/>
          <w:b/>
          <w:noProof w:val="0"/>
          <w:color w:val="000000"/>
          <w:position w:val="0"/>
          <w:sz w:val="20"/>
          <w:szCs w:val="20"/>
        </w:rPr>
        <w:t>MADDE 3 – </w:t>
      </w:r>
      <w:r w:rsidR="00DB24D5" w:rsidRPr="00DB24D5">
        <w:rPr>
          <w:rFonts w:ascii="Arial" w:eastAsiaTheme="minorHAnsi" w:hAnsi="Arial" w:cs="Arial"/>
          <w:noProof w:val="0"/>
          <w:color w:val="000000"/>
          <w:position w:val="0"/>
          <w:sz w:val="20"/>
          <w:szCs w:val="20"/>
        </w:rPr>
        <w:t>Aynı Tebliğe aşağıdaki geçici madde eklenmiştir.</w:t>
      </w:r>
    </w:p>
    <w:p w14:paraId="604111AD" w14:textId="77777777" w:rsidR="00DB24D5" w:rsidRPr="00DB24D5" w:rsidRDefault="00DB24D5" w:rsidP="00DB24D5">
      <w:pPr>
        <w:widowControl w:val="0"/>
        <w:spacing w:line="276" w:lineRule="auto"/>
        <w:ind w:right="170"/>
        <w:rPr>
          <w:rFonts w:ascii="Arial" w:eastAsiaTheme="minorHAnsi" w:hAnsi="Arial" w:cs="Arial"/>
          <w:noProof w:val="0"/>
          <w:color w:val="000000"/>
          <w:position w:val="0"/>
          <w:sz w:val="20"/>
          <w:szCs w:val="20"/>
        </w:rPr>
      </w:pPr>
    </w:p>
    <w:p w14:paraId="0E07CAA1" w14:textId="7E977BA1" w:rsidR="00626E7B" w:rsidRDefault="00DB24D5" w:rsidP="00DB24D5">
      <w:pPr>
        <w:widowControl w:val="0"/>
        <w:spacing w:line="276" w:lineRule="auto"/>
        <w:ind w:right="170"/>
        <w:rPr>
          <w:rFonts w:ascii="Arial" w:eastAsiaTheme="minorHAnsi" w:hAnsi="Arial" w:cs="Arial"/>
          <w:noProof w:val="0"/>
          <w:color w:val="000000"/>
          <w:position w:val="0"/>
          <w:sz w:val="20"/>
          <w:szCs w:val="20"/>
        </w:rPr>
      </w:pPr>
      <w:r w:rsidRPr="00DB24D5">
        <w:rPr>
          <w:rFonts w:ascii="Arial" w:eastAsiaTheme="minorHAnsi" w:hAnsi="Arial" w:cs="Arial"/>
          <w:noProof w:val="0"/>
          <w:color w:val="000000"/>
          <w:position w:val="0"/>
          <w:sz w:val="20"/>
          <w:szCs w:val="20"/>
        </w:rPr>
        <w:t>“GEÇİCİ MADDE 4- (1) Bu maddenin yürürlüğe girdiği tarih itibarıyla izahnamesi onaylanmış serbest fonların bu Tebliğin 25 inci maddesinin on dördüncü fıkrasına uyum sağlaması ihtiyaridir. Söz konusu fıkraya uyum sağlayacak serbest fonlar tarafından yapılacak izahname değişiklikleri için bu Tebliğin 13 üncü maddesinin ikinci fıkrasının (b) bendi hükümleri uygulanır.”</w:t>
      </w:r>
    </w:p>
    <w:p w14:paraId="146EB924" w14:textId="77777777" w:rsidR="00DB24D5" w:rsidRDefault="00DB24D5" w:rsidP="00DB24D5">
      <w:pPr>
        <w:widowControl w:val="0"/>
        <w:spacing w:line="276" w:lineRule="auto"/>
        <w:ind w:right="170"/>
        <w:rPr>
          <w:rFonts w:ascii="Arial" w:eastAsiaTheme="minorHAnsi" w:hAnsi="Arial" w:cs="Arial"/>
          <w:noProof w:val="0"/>
          <w:color w:val="000000"/>
          <w:position w:val="0"/>
          <w:sz w:val="20"/>
          <w:szCs w:val="20"/>
        </w:rPr>
      </w:pPr>
    </w:p>
    <w:p w14:paraId="4206E279" w14:textId="77777777" w:rsidR="00DB24D5" w:rsidRPr="00DB24D5" w:rsidRDefault="00DB24D5" w:rsidP="00DB24D5">
      <w:pPr>
        <w:widowControl w:val="0"/>
        <w:spacing w:line="276" w:lineRule="auto"/>
        <w:ind w:right="170"/>
        <w:rPr>
          <w:rFonts w:ascii="Arial" w:eastAsiaTheme="minorHAnsi" w:hAnsi="Arial" w:cs="Arial"/>
          <w:b/>
          <w:noProof w:val="0"/>
          <w:color w:val="000000"/>
          <w:position w:val="0"/>
          <w:sz w:val="20"/>
          <w:szCs w:val="20"/>
        </w:rPr>
      </w:pPr>
      <w:r w:rsidRPr="00DB24D5">
        <w:rPr>
          <w:rFonts w:ascii="Arial" w:eastAsiaTheme="minorHAnsi" w:hAnsi="Arial" w:cs="Arial"/>
          <w:b/>
          <w:noProof w:val="0"/>
          <w:color w:val="000000"/>
          <w:position w:val="0"/>
          <w:sz w:val="20"/>
          <w:szCs w:val="20"/>
        </w:rPr>
        <w:t xml:space="preserve">MADDE 4- </w:t>
      </w:r>
      <w:r w:rsidRPr="00DB24D5">
        <w:rPr>
          <w:rFonts w:ascii="Arial" w:eastAsiaTheme="minorHAnsi" w:hAnsi="Arial" w:cs="Arial"/>
          <w:noProof w:val="0"/>
          <w:color w:val="000000"/>
          <w:position w:val="0"/>
          <w:sz w:val="20"/>
          <w:szCs w:val="20"/>
        </w:rPr>
        <w:t>Bu Tebliğ yayımı tarihinde yürürlüğe girer.</w:t>
      </w:r>
    </w:p>
    <w:p w14:paraId="1D2B0444" w14:textId="77777777" w:rsidR="00DB24D5" w:rsidRPr="00DB24D5" w:rsidRDefault="00DB24D5" w:rsidP="00DB24D5">
      <w:pPr>
        <w:widowControl w:val="0"/>
        <w:spacing w:line="276" w:lineRule="auto"/>
        <w:ind w:right="170"/>
        <w:rPr>
          <w:rFonts w:ascii="Arial" w:eastAsiaTheme="minorHAnsi" w:hAnsi="Arial" w:cs="Arial"/>
          <w:b/>
          <w:noProof w:val="0"/>
          <w:color w:val="000000"/>
          <w:position w:val="0"/>
          <w:sz w:val="20"/>
          <w:szCs w:val="20"/>
        </w:rPr>
      </w:pPr>
    </w:p>
    <w:p w14:paraId="1CDC01BE" w14:textId="164F630C" w:rsidR="00DB24D5" w:rsidRPr="00417C31" w:rsidRDefault="00DB24D5" w:rsidP="00DB24D5">
      <w:pPr>
        <w:widowControl w:val="0"/>
        <w:spacing w:line="276" w:lineRule="auto"/>
        <w:ind w:right="170"/>
        <w:rPr>
          <w:rFonts w:ascii="Arial" w:eastAsiaTheme="minorHAnsi" w:hAnsi="Arial" w:cs="Arial"/>
          <w:b/>
          <w:noProof w:val="0"/>
          <w:color w:val="000000"/>
          <w:position w:val="0"/>
          <w:sz w:val="20"/>
          <w:szCs w:val="20"/>
        </w:rPr>
      </w:pPr>
      <w:r w:rsidRPr="00DB24D5">
        <w:rPr>
          <w:rFonts w:ascii="Arial" w:eastAsiaTheme="minorHAnsi" w:hAnsi="Arial" w:cs="Arial"/>
          <w:b/>
          <w:noProof w:val="0"/>
          <w:color w:val="000000"/>
          <w:position w:val="0"/>
          <w:sz w:val="20"/>
          <w:szCs w:val="20"/>
        </w:rPr>
        <w:t xml:space="preserve">MADDE 5- </w:t>
      </w:r>
      <w:bookmarkStart w:id="1" w:name="_GoBack"/>
      <w:r w:rsidRPr="00DB24D5">
        <w:rPr>
          <w:rFonts w:ascii="Arial" w:eastAsiaTheme="minorHAnsi" w:hAnsi="Arial" w:cs="Arial"/>
          <w:noProof w:val="0"/>
          <w:color w:val="000000"/>
          <w:position w:val="0"/>
          <w:sz w:val="20"/>
          <w:szCs w:val="20"/>
        </w:rPr>
        <w:t>Bu Tebliğ hükümlerini Sermaye Piyasası Kurulu yürütür.</w:t>
      </w:r>
      <w:bookmarkEnd w:id="1"/>
    </w:p>
    <w:sectPr w:rsidR="00DB24D5" w:rsidRPr="00417C3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94697" w14:textId="77777777" w:rsidR="00654995" w:rsidRDefault="00654995" w:rsidP="00417C31">
      <w:r>
        <w:separator/>
      </w:r>
    </w:p>
  </w:endnote>
  <w:endnote w:type="continuationSeparator" w:id="0">
    <w:p w14:paraId="5C336A07" w14:textId="77777777" w:rsidR="00654995" w:rsidRDefault="00654995" w:rsidP="0041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FD32" w14:textId="4122FC96" w:rsidR="00417C31" w:rsidRPr="00E9528E" w:rsidRDefault="00E9528E" w:rsidP="00E9528E">
    <w:pPr>
      <w:pStyle w:val="Footer"/>
      <w:jc w:val="left"/>
    </w:pPr>
    <w:fldSimple w:instr=" DOCPROPERTY bjFooterEvenPageDocProperty \* MERGEFORMAT " w:fldLock="1">
      <w:r w:rsidRPr="008B0D39">
        <w:rPr>
          <w:rFonts w:ascii="Malgun Gothic" w:eastAsia="Malgun Gothic" w:hAnsi="Malgun Gothic"/>
          <w:color w:val="999999"/>
          <w:sz w:val="20"/>
          <w:szCs w:val="20"/>
        </w:rPr>
        <w:t>Sınıflandırma|</w:t>
      </w:r>
      <w:r w:rsidRPr="008B0D39">
        <w:rPr>
          <w:rFonts w:ascii="Malgun Gothic" w:eastAsia="Malgun Gothic" w:hAnsi="Malgun Gothic"/>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9729" w14:textId="46E7251C" w:rsidR="00417C31" w:rsidRPr="00E9528E" w:rsidRDefault="00E9528E" w:rsidP="00E9528E">
    <w:pPr>
      <w:pStyle w:val="Footer"/>
      <w:jc w:val="left"/>
    </w:pPr>
    <w:fldSimple w:instr=" DOCPROPERTY bjFooterBothDocProperty \* MERGEFORMAT " w:fldLock="1">
      <w:r w:rsidRPr="008B0D39">
        <w:rPr>
          <w:rFonts w:ascii="Malgun Gothic" w:eastAsia="Malgun Gothic" w:hAnsi="Malgun Gothic"/>
          <w:color w:val="999999"/>
          <w:sz w:val="20"/>
          <w:szCs w:val="20"/>
        </w:rPr>
        <w:t>Sınıflandırma|</w:t>
      </w:r>
      <w:r w:rsidRPr="008B0D39">
        <w:rPr>
          <w:rFonts w:ascii="Malgun Gothic" w:eastAsia="Malgun Gothic" w:hAnsi="Malgun Gothic"/>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8E86" w14:textId="6626DE80" w:rsidR="00417C31" w:rsidRPr="00E9528E" w:rsidRDefault="00E9528E" w:rsidP="00E9528E">
    <w:pPr>
      <w:pStyle w:val="Footer"/>
      <w:jc w:val="left"/>
    </w:pPr>
    <w:fldSimple w:instr=" DOCPROPERTY bjFooterFirstPageDocProperty \* MERGEFORMAT " w:fldLock="1">
      <w:r w:rsidRPr="008B0D39">
        <w:rPr>
          <w:rFonts w:ascii="Malgun Gothic" w:eastAsia="Malgun Gothic" w:hAnsi="Malgun Gothic"/>
          <w:color w:val="999999"/>
          <w:sz w:val="20"/>
          <w:szCs w:val="20"/>
        </w:rPr>
        <w:t>Sınıflandırma|</w:t>
      </w:r>
      <w:r w:rsidRPr="008B0D39">
        <w:rPr>
          <w:rFonts w:ascii="Malgun Gothic" w:eastAsia="Malgun Gothic" w:hAnsi="Malgun Gothic"/>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07FB6" w14:textId="77777777" w:rsidR="00654995" w:rsidRDefault="00654995" w:rsidP="00417C31">
      <w:r>
        <w:separator/>
      </w:r>
    </w:p>
  </w:footnote>
  <w:footnote w:type="continuationSeparator" w:id="0">
    <w:p w14:paraId="47D89E9C" w14:textId="77777777" w:rsidR="00654995" w:rsidRDefault="00654995" w:rsidP="00417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5657" w14:textId="77777777" w:rsidR="00417C31" w:rsidRDefault="0041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8FB08" w14:textId="77777777" w:rsidR="00417C31" w:rsidRDefault="0041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8754" w14:textId="77777777" w:rsidR="00417C31" w:rsidRDefault="00417C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06"/>
    <w:rsid w:val="00417C31"/>
    <w:rsid w:val="00626E7B"/>
    <w:rsid w:val="00654995"/>
    <w:rsid w:val="00DB24D5"/>
    <w:rsid w:val="00E9528E"/>
    <w:rsid w:val="00F468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E68F5"/>
  <w15:chartTrackingRefBased/>
  <w15:docId w15:val="{219654E6-0D72-4B08-8A9B-D6BCE41B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C31"/>
    <w:pPr>
      <w:spacing w:after="0" w:line="240" w:lineRule="auto"/>
      <w:jc w:val="both"/>
    </w:pPr>
    <w:rPr>
      <w:rFonts w:ascii="Times New Roman" w:eastAsia="Times New Roman" w:hAnsi="Times New Roman" w:cs="Times New Roman"/>
      <w:noProof/>
      <w:kern w:val="16"/>
      <w:position w:val="24"/>
      <w:sz w:val="24"/>
      <w:szCs w:val="24"/>
    </w:rPr>
  </w:style>
  <w:style w:type="paragraph" w:styleId="Heading2">
    <w:name w:val="heading 2"/>
    <w:basedOn w:val="Normal"/>
    <w:next w:val="Normal"/>
    <w:link w:val="Heading2Char"/>
    <w:autoRedefine/>
    <w:uiPriority w:val="9"/>
    <w:qFormat/>
    <w:rsid w:val="00417C31"/>
    <w:pPr>
      <w:keepNext/>
      <w:widowControl w:val="0"/>
      <w:spacing w:line="260" w:lineRule="atLeast"/>
      <w:ind w:right="17"/>
      <w:jc w:val="center"/>
      <w:outlineLvl w:val="1"/>
    </w:pPr>
    <w:rPr>
      <w:rFonts w:ascii="Arial" w:eastAsia="Cambria" w:hAnsi="Arial" w:cs="Arial"/>
      <w:b/>
      <w:bCs/>
      <w:position w:val="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7C31"/>
    <w:rPr>
      <w:rFonts w:ascii="Arial" w:eastAsia="Cambria" w:hAnsi="Arial" w:cs="Arial"/>
      <w:b/>
      <w:bCs/>
      <w:noProof/>
      <w:kern w:val="16"/>
      <w:sz w:val="24"/>
      <w:szCs w:val="24"/>
      <w:lang w:eastAsia="tr-TR"/>
    </w:rPr>
  </w:style>
  <w:style w:type="paragraph" w:styleId="Header">
    <w:name w:val="header"/>
    <w:basedOn w:val="Normal"/>
    <w:link w:val="HeaderChar"/>
    <w:uiPriority w:val="99"/>
    <w:unhideWhenUsed/>
    <w:rsid w:val="00417C31"/>
    <w:pPr>
      <w:tabs>
        <w:tab w:val="center" w:pos="4536"/>
        <w:tab w:val="right" w:pos="9072"/>
      </w:tabs>
    </w:pPr>
  </w:style>
  <w:style w:type="character" w:customStyle="1" w:styleId="HeaderChar">
    <w:name w:val="Header Char"/>
    <w:basedOn w:val="DefaultParagraphFont"/>
    <w:link w:val="Header"/>
    <w:uiPriority w:val="99"/>
    <w:rsid w:val="00417C31"/>
    <w:rPr>
      <w:rFonts w:ascii="Times New Roman" w:eastAsia="Times New Roman" w:hAnsi="Times New Roman" w:cs="Times New Roman"/>
      <w:noProof/>
      <w:kern w:val="16"/>
      <w:position w:val="24"/>
      <w:sz w:val="24"/>
      <w:szCs w:val="24"/>
    </w:rPr>
  </w:style>
  <w:style w:type="paragraph" w:styleId="Footer">
    <w:name w:val="footer"/>
    <w:basedOn w:val="Normal"/>
    <w:link w:val="FooterChar"/>
    <w:uiPriority w:val="99"/>
    <w:unhideWhenUsed/>
    <w:rsid w:val="00417C31"/>
    <w:pPr>
      <w:tabs>
        <w:tab w:val="center" w:pos="4536"/>
        <w:tab w:val="right" w:pos="9072"/>
      </w:tabs>
    </w:pPr>
  </w:style>
  <w:style w:type="character" w:customStyle="1" w:styleId="FooterChar">
    <w:name w:val="Footer Char"/>
    <w:basedOn w:val="DefaultParagraphFont"/>
    <w:link w:val="Footer"/>
    <w:uiPriority w:val="99"/>
    <w:rsid w:val="00417C31"/>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250E421A-B698-4D22-87F0-5A50092DA07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Emeklilik Gozetim Merkezi</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yazar</cp:lastModifiedBy>
  <cp:revision>3</cp:revision>
  <cp:lastPrinted>2024-03-01T09:00:00Z</cp:lastPrinted>
  <dcterms:created xsi:type="dcterms:W3CDTF">2024-03-01T08:59:00Z</dcterms:created>
  <dcterms:modified xsi:type="dcterms:W3CDTF">2024-03-01T09:00:00Z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96ac4072-345a-4205-a1fa-e8b889b28c14</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