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27A" w:rsidRPr="0092627A" w:rsidRDefault="0092627A" w:rsidP="0092627A">
      <w:pPr>
        <w:spacing w:after="0" w:line="240" w:lineRule="auto"/>
        <w:rPr>
          <w:rFonts w:ascii="Arial" w:hAnsi="Arial" w:cs="Arial"/>
          <w:sz w:val="20"/>
          <w:szCs w:val="20"/>
        </w:rPr>
      </w:pPr>
      <w:r w:rsidRPr="0092627A">
        <w:rPr>
          <w:rFonts w:ascii="Arial" w:eastAsia="Times New Roman" w:hAnsi="Arial" w:cs="Arial"/>
          <w:b/>
          <w:sz w:val="20"/>
          <w:szCs w:val="20"/>
        </w:rPr>
        <w:t>Resmi Gazete</w:t>
      </w:r>
      <w:r w:rsidRPr="0092627A">
        <w:rPr>
          <w:rFonts w:ascii="Arial" w:eastAsia="Times New Roman" w:hAnsi="Arial" w:cs="Arial"/>
          <w:b/>
          <w:sz w:val="20"/>
          <w:szCs w:val="20"/>
        </w:rPr>
        <w:tab/>
        <w:t xml:space="preserve">: </w:t>
      </w:r>
      <w:r w:rsidRPr="0092627A">
        <w:rPr>
          <w:rFonts w:ascii="Arial" w:eastAsia="Times New Roman" w:hAnsi="Arial" w:cs="Arial"/>
          <w:sz w:val="20"/>
          <w:szCs w:val="20"/>
        </w:rPr>
        <w:t>17 Mart 2011</w:t>
      </w:r>
    </w:p>
    <w:p w:rsidR="0092627A" w:rsidRPr="0092627A" w:rsidRDefault="0092627A" w:rsidP="0092627A">
      <w:pPr>
        <w:spacing w:after="0" w:line="240" w:lineRule="auto"/>
        <w:rPr>
          <w:rFonts w:ascii="Arial" w:hAnsi="Arial" w:cs="Arial"/>
          <w:b/>
          <w:sz w:val="20"/>
          <w:szCs w:val="20"/>
        </w:rPr>
      </w:pPr>
      <w:r w:rsidRPr="0092627A">
        <w:rPr>
          <w:rFonts w:ascii="Arial" w:hAnsi="Arial" w:cs="Arial"/>
          <w:b/>
          <w:sz w:val="20"/>
          <w:szCs w:val="20"/>
        </w:rPr>
        <w:t>Sayı</w:t>
      </w:r>
      <w:r w:rsidRPr="0092627A">
        <w:rPr>
          <w:rFonts w:ascii="Arial" w:hAnsi="Arial" w:cs="Arial"/>
          <w:b/>
          <w:sz w:val="20"/>
          <w:szCs w:val="20"/>
        </w:rPr>
        <w:tab/>
      </w:r>
      <w:r w:rsidRPr="0092627A">
        <w:rPr>
          <w:rFonts w:ascii="Arial" w:hAnsi="Arial" w:cs="Arial"/>
          <w:b/>
          <w:sz w:val="20"/>
          <w:szCs w:val="20"/>
        </w:rPr>
        <w:tab/>
        <w:t>:</w:t>
      </w:r>
      <w:r w:rsidRPr="0092627A">
        <w:rPr>
          <w:rFonts w:ascii="Arial" w:eastAsia="Times New Roman" w:hAnsi="Arial" w:cs="Arial"/>
          <w:sz w:val="20"/>
          <w:szCs w:val="20"/>
        </w:rPr>
        <w:t xml:space="preserve"> 27877</w:t>
      </w:r>
      <w:r w:rsidRPr="0092627A">
        <w:rPr>
          <w:rFonts w:ascii="Arial" w:hAnsi="Arial" w:cs="Arial"/>
          <w:b/>
          <w:sz w:val="20"/>
          <w:szCs w:val="20"/>
        </w:rPr>
        <w:tab/>
      </w:r>
    </w:p>
    <w:p w:rsidR="00000000" w:rsidRPr="0092627A" w:rsidRDefault="00E2126D">
      <w:pPr>
        <w:rPr>
          <w:rFonts w:ascii="Arial" w:hAnsi="Arial" w:cs="Arial"/>
          <w:sz w:val="20"/>
          <w:szCs w:val="20"/>
        </w:rPr>
      </w:pPr>
    </w:p>
    <w:tbl>
      <w:tblPr>
        <w:tblW w:w="8789" w:type="dxa"/>
        <w:jc w:val="center"/>
        <w:tblLook w:val="01E0"/>
      </w:tblPr>
      <w:tblGrid>
        <w:gridCol w:w="8789"/>
      </w:tblGrid>
      <w:tr w:rsidR="0092627A" w:rsidRPr="0092627A" w:rsidTr="00750315">
        <w:trPr>
          <w:trHeight w:val="480"/>
          <w:jc w:val="center"/>
        </w:trPr>
        <w:tc>
          <w:tcPr>
            <w:tcW w:w="8789" w:type="dxa"/>
            <w:vAlign w:val="center"/>
            <w:hideMark/>
          </w:tcPr>
          <w:p w:rsidR="0092627A" w:rsidRPr="0092627A" w:rsidRDefault="0092627A" w:rsidP="00750315">
            <w:pPr>
              <w:tabs>
                <w:tab w:val="left" w:pos="708"/>
              </w:tabs>
              <w:spacing w:after="0" w:line="240" w:lineRule="exact"/>
              <w:ind w:firstLine="567"/>
              <w:rPr>
                <w:rFonts w:ascii="Arial" w:eastAsia="ヒラギノ明朝 Pro W3" w:hAnsi="Arial" w:cs="Arial"/>
                <w:sz w:val="20"/>
                <w:szCs w:val="20"/>
                <w:u w:val="single"/>
                <w:lang w:eastAsia="en-US"/>
              </w:rPr>
            </w:pPr>
            <w:r w:rsidRPr="0092627A">
              <w:rPr>
                <w:rFonts w:ascii="Arial" w:eastAsia="ヒラギノ明朝 Pro W3" w:hAnsi="Arial" w:cs="Arial"/>
                <w:sz w:val="20"/>
                <w:szCs w:val="20"/>
                <w:u w:val="single"/>
                <w:lang w:eastAsia="en-US"/>
              </w:rPr>
              <w:t>Başbakanlık (Hazine Müsteşarlığı)’tan:</w:t>
            </w:r>
          </w:p>
        </w:tc>
      </w:tr>
    </w:tbl>
    <w:p w:rsidR="0092627A" w:rsidRPr="0092627A" w:rsidRDefault="0092627A" w:rsidP="0092627A">
      <w:pPr>
        <w:spacing w:after="0" w:line="240" w:lineRule="exact"/>
        <w:rPr>
          <w:rFonts w:ascii="Arial" w:eastAsia="ヒラギノ明朝 Pro W3" w:hAnsi="Arial" w:cs="Arial"/>
          <w:b/>
          <w:sz w:val="20"/>
          <w:szCs w:val="20"/>
          <w:lang w:eastAsia="en-US"/>
        </w:rPr>
      </w:pPr>
    </w:p>
    <w:p w:rsidR="0092627A" w:rsidRPr="0092627A" w:rsidRDefault="0092627A" w:rsidP="0092627A">
      <w:pPr>
        <w:spacing w:after="0" w:line="240" w:lineRule="exact"/>
        <w:jc w:val="center"/>
        <w:rPr>
          <w:rFonts w:ascii="Arial" w:eastAsia="ヒラギノ明朝 Pro W3" w:hAnsi="Arial" w:cs="Arial"/>
          <w:b/>
          <w:sz w:val="20"/>
          <w:szCs w:val="20"/>
          <w:lang w:eastAsia="en-US"/>
        </w:rPr>
      </w:pPr>
    </w:p>
    <w:p w:rsidR="0092627A" w:rsidRPr="0092627A" w:rsidRDefault="0092627A" w:rsidP="0092627A">
      <w:pPr>
        <w:spacing w:after="0" w:line="240" w:lineRule="exact"/>
        <w:jc w:val="center"/>
        <w:rPr>
          <w:rFonts w:ascii="Arial" w:eastAsia="ヒラギノ明朝 Pro W3" w:hAnsi="Arial" w:cs="Arial"/>
          <w:b/>
          <w:sz w:val="20"/>
          <w:szCs w:val="20"/>
          <w:lang w:eastAsia="en-US"/>
        </w:rPr>
      </w:pPr>
      <w:r w:rsidRPr="0092627A">
        <w:rPr>
          <w:rFonts w:ascii="Arial" w:eastAsia="ヒラギノ明朝 Pro W3" w:hAnsi="Arial" w:cs="Arial"/>
          <w:b/>
          <w:sz w:val="20"/>
          <w:szCs w:val="20"/>
          <w:lang w:eastAsia="en-US"/>
        </w:rPr>
        <w:t xml:space="preserve">SİGORTA VE REASÜRANS İLE EMEKLİLİK ŞİRKETLERİNİN İÇ </w:t>
      </w:r>
    </w:p>
    <w:p w:rsidR="0092627A" w:rsidRPr="0092627A" w:rsidRDefault="0092627A" w:rsidP="0092627A">
      <w:pPr>
        <w:spacing w:after="0" w:line="240" w:lineRule="exact"/>
        <w:jc w:val="center"/>
        <w:rPr>
          <w:rFonts w:ascii="Arial" w:eastAsia="ヒラギノ明朝 Pro W3" w:hAnsi="Arial" w:cs="Arial"/>
          <w:b/>
          <w:sz w:val="20"/>
          <w:szCs w:val="20"/>
          <w:lang w:eastAsia="en-US"/>
        </w:rPr>
      </w:pPr>
      <w:r w:rsidRPr="0092627A">
        <w:rPr>
          <w:rFonts w:ascii="Arial" w:eastAsia="ヒラギノ明朝 Pro W3" w:hAnsi="Arial" w:cs="Arial"/>
          <w:b/>
          <w:sz w:val="20"/>
          <w:szCs w:val="20"/>
          <w:lang w:eastAsia="en-US"/>
        </w:rPr>
        <w:t xml:space="preserve">SİSTEMLERİNE İLİŞKİN YÖNETMELİKTE DEĞİŞİKLİK </w:t>
      </w:r>
    </w:p>
    <w:p w:rsidR="0092627A" w:rsidRDefault="0092627A" w:rsidP="0092627A">
      <w:pPr>
        <w:spacing w:after="0" w:line="240" w:lineRule="exact"/>
        <w:jc w:val="center"/>
        <w:rPr>
          <w:rFonts w:ascii="Arial" w:eastAsia="ヒラギノ明朝 Pro W3" w:hAnsi="Arial" w:cs="Arial"/>
          <w:b/>
          <w:sz w:val="20"/>
          <w:szCs w:val="20"/>
          <w:lang w:eastAsia="en-US"/>
        </w:rPr>
      </w:pPr>
      <w:r w:rsidRPr="0092627A">
        <w:rPr>
          <w:rFonts w:ascii="Arial" w:eastAsia="ヒラギノ明朝 Pro W3" w:hAnsi="Arial" w:cs="Arial"/>
          <w:b/>
          <w:sz w:val="20"/>
          <w:szCs w:val="20"/>
          <w:lang w:eastAsia="en-US"/>
        </w:rPr>
        <w:t>YAPILMASINA DAİR YÖNETMELİK</w:t>
      </w:r>
    </w:p>
    <w:p w:rsidR="00E2126D" w:rsidRPr="0092627A" w:rsidRDefault="00E2126D" w:rsidP="0092627A">
      <w:pPr>
        <w:spacing w:after="0" w:line="240" w:lineRule="exact"/>
        <w:jc w:val="center"/>
        <w:rPr>
          <w:rFonts w:ascii="Arial" w:eastAsia="ヒラギノ明朝 Pro W3" w:hAnsi="Arial" w:cs="Arial"/>
          <w:b/>
          <w:sz w:val="20"/>
          <w:szCs w:val="20"/>
          <w:lang w:eastAsia="en-US"/>
        </w:rPr>
      </w:pPr>
    </w:p>
    <w:p w:rsidR="0092627A" w:rsidRPr="0092627A" w:rsidRDefault="0092627A" w:rsidP="0092627A">
      <w:pPr>
        <w:tabs>
          <w:tab w:val="left" w:pos="566"/>
        </w:tabs>
        <w:spacing w:after="0" w:line="240" w:lineRule="exact"/>
        <w:jc w:val="both"/>
        <w:rPr>
          <w:rFonts w:ascii="Arial" w:eastAsia="ヒラギノ明朝 Pro W3" w:hAnsi="Arial" w:cs="Arial"/>
          <w:sz w:val="20"/>
          <w:szCs w:val="20"/>
          <w:lang w:eastAsia="en-US"/>
        </w:rPr>
      </w:pPr>
      <w:r w:rsidRPr="0092627A">
        <w:rPr>
          <w:rFonts w:ascii="Arial" w:eastAsia="ヒラギノ明朝 Pro W3" w:hAnsi="Arial" w:cs="Arial"/>
          <w:sz w:val="20"/>
          <w:szCs w:val="20"/>
          <w:lang w:eastAsia="en-US"/>
        </w:rPr>
        <w:tab/>
      </w:r>
      <w:r w:rsidRPr="0092627A">
        <w:rPr>
          <w:rFonts w:ascii="Arial" w:eastAsia="ヒラギノ明朝 Pro W3" w:hAnsi="Arial" w:cs="Arial"/>
          <w:b/>
          <w:sz w:val="20"/>
          <w:szCs w:val="20"/>
          <w:lang w:eastAsia="en-US"/>
        </w:rPr>
        <w:t>MADDE 1 –</w:t>
      </w:r>
      <w:r w:rsidRPr="0092627A">
        <w:rPr>
          <w:rFonts w:ascii="Arial" w:eastAsia="ヒラギノ明朝 Pro W3" w:hAnsi="Arial" w:cs="Arial"/>
          <w:sz w:val="20"/>
          <w:szCs w:val="20"/>
          <w:lang w:eastAsia="en-US"/>
        </w:rPr>
        <w:t xml:space="preserve"> </w:t>
      </w:r>
      <w:proofErr w:type="gramStart"/>
      <w:r w:rsidRPr="0092627A">
        <w:rPr>
          <w:rFonts w:ascii="Arial" w:eastAsia="ヒラギノ明朝 Pro W3" w:hAnsi="Arial" w:cs="Arial"/>
          <w:sz w:val="20"/>
          <w:szCs w:val="20"/>
          <w:lang w:eastAsia="en-US"/>
        </w:rPr>
        <w:t>21/6/2008</w:t>
      </w:r>
      <w:proofErr w:type="gramEnd"/>
      <w:r w:rsidRPr="0092627A">
        <w:rPr>
          <w:rFonts w:ascii="Arial" w:eastAsia="ヒラギノ明朝 Pro W3" w:hAnsi="Arial" w:cs="Arial"/>
          <w:sz w:val="20"/>
          <w:szCs w:val="20"/>
          <w:lang w:eastAsia="en-US"/>
        </w:rPr>
        <w:t xml:space="preserve"> tarihli ve 26913 sayılı Resmî Gazete’de yayımlanan Sigorta ve Reasürans ile Emeklilik Şirketlerinin İç Sistemlerine İlişkin Yönetmeliğin 3 üncü maddesinin birinci fıkrasına aşağıdaki (f) bendi eklenmiştir.</w:t>
      </w:r>
    </w:p>
    <w:p w:rsidR="0092627A" w:rsidRPr="0092627A" w:rsidRDefault="0092627A" w:rsidP="0092627A">
      <w:pPr>
        <w:tabs>
          <w:tab w:val="left" w:pos="566"/>
        </w:tabs>
        <w:spacing w:after="0" w:line="240" w:lineRule="exact"/>
        <w:jc w:val="both"/>
        <w:rPr>
          <w:rFonts w:ascii="Arial" w:eastAsia="ヒラギノ明朝 Pro W3" w:hAnsi="Arial" w:cs="Arial"/>
          <w:sz w:val="20"/>
          <w:szCs w:val="20"/>
          <w:lang w:eastAsia="en-US"/>
        </w:rPr>
      </w:pPr>
      <w:r w:rsidRPr="0092627A">
        <w:rPr>
          <w:rFonts w:ascii="Arial" w:eastAsia="ヒラギノ明朝 Pro W3" w:hAnsi="Arial" w:cs="Arial"/>
          <w:sz w:val="20"/>
          <w:szCs w:val="20"/>
          <w:lang w:eastAsia="en-US"/>
        </w:rPr>
        <w:tab/>
        <w:t xml:space="preserve">“f) Ana Hizmetler: Şirketlerin sigortacılık ve bireysel emeklilik faaliyetlerini icra edebilmeleri amacıyla yürütülen ve devamlı olarak sürdürülmesi şart olan hizmetleri,” </w:t>
      </w:r>
    </w:p>
    <w:p w:rsidR="0092627A" w:rsidRPr="0092627A" w:rsidRDefault="0092627A" w:rsidP="0092627A">
      <w:pPr>
        <w:tabs>
          <w:tab w:val="left" w:pos="566"/>
        </w:tabs>
        <w:spacing w:after="0" w:line="240" w:lineRule="exact"/>
        <w:jc w:val="both"/>
        <w:rPr>
          <w:rFonts w:ascii="Arial" w:eastAsia="ヒラギノ明朝 Pro W3" w:hAnsi="Arial" w:cs="Arial"/>
          <w:sz w:val="20"/>
          <w:szCs w:val="20"/>
          <w:lang w:eastAsia="en-US"/>
        </w:rPr>
      </w:pPr>
      <w:r w:rsidRPr="0092627A">
        <w:rPr>
          <w:rFonts w:ascii="Arial" w:eastAsia="ヒラギノ明朝 Pro W3" w:hAnsi="Arial" w:cs="Arial"/>
          <w:sz w:val="20"/>
          <w:szCs w:val="20"/>
          <w:lang w:eastAsia="en-US"/>
        </w:rPr>
        <w:tab/>
      </w:r>
      <w:r w:rsidRPr="0092627A">
        <w:rPr>
          <w:rFonts w:ascii="Arial" w:eastAsia="ヒラギノ明朝 Pro W3" w:hAnsi="Arial" w:cs="Arial"/>
          <w:b/>
          <w:sz w:val="20"/>
          <w:szCs w:val="20"/>
          <w:lang w:eastAsia="en-US"/>
        </w:rPr>
        <w:t>MADDE 2 –</w:t>
      </w:r>
      <w:r w:rsidRPr="0092627A">
        <w:rPr>
          <w:rFonts w:ascii="Arial" w:eastAsia="ヒラギノ明朝 Pro W3" w:hAnsi="Arial" w:cs="Arial"/>
          <w:sz w:val="20"/>
          <w:szCs w:val="20"/>
          <w:lang w:eastAsia="en-US"/>
        </w:rPr>
        <w:t xml:space="preserve"> Aynı Yönetmeliğin 4 üncü maddesinin dördüncü fıkrası aşağıdaki şekilde değiştirilmiştir.</w:t>
      </w:r>
    </w:p>
    <w:p w:rsidR="0092627A" w:rsidRPr="0092627A" w:rsidRDefault="0092627A" w:rsidP="0092627A">
      <w:pPr>
        <w:tabs>
          <w:tab w:val="left" w:pos="566"/>
        </w:tabs>
        <w:spacing w:after="0" w:line="240" w:lineRule="exact"/>
        <w:jc w:val="both"/>
        <w:rPr>
          <w:rFonts w:ascii="Arial" w:eastAsia="ヒラギノ明朝 Pro W3" w:hAnsi="Arial" w:cs="Arial"/>
          <w:sz w:val="20"/>
          <w:szCs w:val="20"/>
          <w:lang w:eastAsia="en-US"/>
        </w:rPr>
      </w:pPr>
      <w:r w:rsidRPr="0092627A">
        <w:rPr>
          <w:rFonts w:ascii="Arial" w:eastAsia="ヒラギノ明朝 Pro W3" w:hAnsi="Arial" w:cs="Arial"/>
          <w:sz w:val="20"/>
          <w:szCs w:val="20"/>
          <w:lang w:eastAsia="en-US"/>
        </w:rPr>
        <w:tab/>
        <w:t>“(4) Şirketler kendi örgüt yapıları içerisinde ayrı bir iç denetim birimine, iç kontrol sistemine ve risk yönetimi sistemine yer verirler. Ancak, Müsteşarlık belirli büyüklüğe sahip olan şirketlerin ayrı bir risk yönetim birimi veya risk yönetim komitesi kurmalarını talep edebilir.”</w:t>
      </w:r>
    </w:p>
    <w:p w:rsidR="0092627A" w:rsidRPr="0092627A" w:rsidRDefault="0092627A" w:rsidP="0092627A">
      <w:pPr>
        <w:tabs>
          <w:tab w:val="left" w:pos="566"/>
        </w:tabs>
        <w:spacing w:after="0" w:line="240" w:lineRule="exact"/>
        <w:jc w:val="both"/>
        <w:rPr>
          <w:rFonts w:ascii="Arial" w:eastAsia="ヒラギノ明朝 Pro W3" w:hAnsi="Arial" w:cs="Arial"/>
          <w:sz w:val="20"/>
          <w:szCs w:val="20"/>
          <w:lang w:eastAsia="en-US"/>
        </w:rPr>
      </w:pPr>
      <w:r w:rsidRPr="0092627A">
        <w:rPr>
          <w:rFonts w:ascii="Arial" w:eastAsia="ヒラギノ明朝 Pro W3" w:hAnsi="Arial" w:cs="Arial"/>
          <w:sz w:val="20"/>
          <w:szCs w:val="20"/>
          <w:lang w:eastAsia="en-US"/>
        </w:rPr>
        <w:tab/>
      </w:r>
      <w:r w:rsidRPr="0092627A">
        <w:rPr>
          <w:rFonts w:ascii="Arial" w:eastAsia="ヒラギノ明朝 Pro W3" w:hAnsi="Arial" w:cs="Arial"/>
          <w:b/>
          <w:sz w:val="20"/>
          <w:szCs w:val="20"/>
          <w:lang w:eastAsia="en-US"/>
        </w:rPr>
        <w:t>MADDE 3 –</w:t>
      </w:r>
      <w:r w:rsidRPr="0092627A">
        <w:rPr>
          <w:rFonts w:ascii="Arial" w:eastAsia="ヒラギノ明朝 Pro W3" w:hAnsi="Arial" w:cs="Arial"/>
          <w:sz w:val="20"/>
          <w:szCs w:val="20"/>
          <w:lang w:eastAsia="en-US"/>
        </w:rPr>
        <w:t xml:space="preserve"> Aynı </w:t>
      </w:r>
      <w:proofErr w:type="gramStart"/>
      <w:r w:rsidRPr="0092627A">
        <w:rPr>
          <w:rFonts w:ascii="Arial" w:eastAsia="ヒラギノ明朝 Pro W3" w:hAnsi="Arial" w:cs="Arial"/>
          <w:sz w:val="20"/>
          <w:szCs w:val="20"/>
          <w:lang w:eastAsia="en-US"/>
        </w:rPr>
        <w:t>Yönetmeliğin  5</w:t>
      </w:r>
      <w:proofErr w:type="gramEnd"/>
      <w:r w:rsidRPr="0092627A">
        <w:rPr>
          <w:rFonts w:ascii="Arial" w:eastAsia="ヒラギノ明朝 Pro W3" w:hAnsi="Arial" w:cs="Arial"/>
          <w:sz w:val="20"/>
          <w:szCs w:val="20"/>
          <w:lang w:eastAsia="en-US"/>
        </w:rPr>
        <w:t xml:space="preserve"> inci maddesinin ikinci fıkrasına aşağıdaki (d) bendi eklenmiştir.</w:t>
      </w:r>
    </w:p>
    <w:p w:rsidR="0092627A" w:rsidRPr="0092627A" w:rsidRDefault="0092627A" w:rsidP="0092627A">
      <w:pPr>
        <w:tabs>
          <w:tab w:val="left" w:pos="566"/>
        </w:tabs>
        <w:spacing w:after="0" w:line="240" w:lineRule="exact"/>
        <w:jc w:val="both"/>
        <w:rPr>
          <w:rFonts w:ascii="Arial" w:eastAsia="ヒラギノ明朝 Pro W3" w:hAnsi="Arial" w:cs="Arial"/>
          <w:sz w:val="20"/>
          <w:szCs w:val="20"/>
          <w:lang w:eastAsia="en-US"/>
        </w:rPr>
      </w:pPr>
      <w:r w:rsidRPr="0092627A">
        <w:rPr>
          <w:rFonts w:ascii="Arial" w:eastAsia="ヒラギノ明朝 Pro W3" w:hAnsi="Arial" w:cs="Arial"/>
          <w:sz w:val="20"/>
          <w:szCs w:val="20"/>
          <w:lang w:eastAsia="en-US"/>
        </w:rPr>
        <w:tab/>
        <w:t>“d) Aracılık faaliyetlerinin gözetimini uygun bir şekilde sağlamak,”</w:t>
      </w:r>
    </w:p>
    <w:p w:rsidR="0092627A" w:rsidRPr="0092627A" w:rsidRDefault="0092627A" w:rsidP="0092627A">
      <w:pPr>
        <w:tabs>
          <w:tab w:val="left" w:pos="566"/>
        </w:tabs>
        <w:spacing w:after="0" w:line="240" w:lineRule="exact"/>
        <w:jc w:val="both"/>
        <w:rPr>
          <w:rFonts w:ascii="Arial" w:eastAsia="ヒラギノ明朝 Pro W3" w:hAnsi="Arial" w:cs="Arial"/>
          <w:sz w:val="20"/>
          <w:szCs w:val="20"/>
          <w:lang w:eastAsia="en-US"/>
        </w:rPr>
      </w:pPr>
      <w:r w:rsidRPr="0092627A">
        <w:rPr>
          <w:rFonts w:ascii="Arial" w:eastAsia="ヒラギノ明朝 Pro W3" w:hAnsi="Arial" w:cs="Arial"/>
          <w:sz w:val="20"/>
          <w:szCs w:val="20"/>
          <w:lang w:eastAsia="en-US"/>
        </w:rPr>
        <w:tab/>
      </w:r>
      <w:r w:rsidRPr="0092627A">
        <w:rPr>
          <w:rFonts w:ascii="Arial" w:eastAsia="ヒラギノ明朝 Pro W3" w:hAnsi="Arial" w:cs="Arial"/>
          <w:b/>
          <w:sz w:val="20"/>
          <w:szCs w:val="20"/>
          <w:lang w:eastAsia="en-US"/>
        </w:rPr>
        <w:t>MADDE 4 –</w:t>
      </w:r>
      <w:r w:rsidRPr="0092627A">
        <w:rPr>
          <w:rFonts w:ascii="Arial" w:eastAsia="ヒラギノ明朝 Pro W3" w:hAnsi="Arial" w:cs="Arial"/>
          <w:sz w:val="20"/>
          <w:szCs w:val="20"/>
          <w:lang w:eastAsia="en-US"/>
        </w:rPr>
        <w:t xml:space="preserve"> Aynı </w:t>
      </w:r>
      <w:proofErr w:type="gramStart"/>
      <w:r w:rsidRPr="0092627A">
        <w:rPr>
          <w:rFonts w:ascii="Arial" w:eastAsia="ヒラギノ明朝 Pro W3" w:hAnsi="Arial" w:cs="Arial"/>
          <w:sz w:val="20"/>
          <w:szCs w:val="20"/>
          <w:lang w:eastAsia="en-US"/>
        </w:rPr>
        <w:t>Yönetmeliğin  10</w:t>
      </w:r>
      <w:proofErr w:type="gramEnd"/>
      <w:r w:rsidRPr="0092627A">
        <w:rPr>
          <w:rFonts w:ascii="Arial" w:eastAsia="ヒラギノ明朝 Pro W3" w:hAnsi="Arial" w:cs="Arial"/>
          <w:sz w:val="20"/>
          <w:szCs w:val="20"/>
          <w:lang w:eastAsia="en-US"/>
        </w:rPr>
        <w:t xml:space="preserve"> uncu maddesinin birinci fıkrasına aşağıdaki (ç)  bendi eklenmiştir.</w:t>
      </w:r>
    </w:p>
    <w:p w:rsidR="0092627A" w:rsidRPr="0092627A" w:rsidRDefault="0092627A" w:rsidP="0092627A">
      <w:pPr>
        <w:tabs>
          <w:tab w:val="left" w:pos="566"/>
        </w:tabs>
        <w:spacing w:after="0" w:line="240" w:lineRule="exact"/>
        <w:jc w:val="both"/>
        <w:rPr>
          <w:rFonts w:ascii="Arial" w:eastAsia="ヒラギノ明朝 Pro W3" w:hAnsi="Arial" w:cs="Arial"/>
          <w:sz w:val="20"/>
          <w:szCs w:val="20"/>
          <w:lang w:eastAsia="en-US"/>
        </w:rPr>
      </w:pPr>
      <w:r w:rsidRPr="0092627A">
        <w:rPr>
          <w:rFonts w:ascii="Arial" w:eastAsia="ヒラギノ明朝 Pro W3" w:hAnsi="Arial" w:cs="Arial"/>
          <w:sz w:val="20"/>
          <w:szCs w:val="20"/>
          <w:lang w:eastAsia="en-US"/>
        </w:rPr>
        <w:tab/>
        <w:t>“ç) Ana hizmetlerin uzantısı veya tamamlayıcısı niteliğinde olan hizmet alımlarının kontrolü.”</w:t>
      </w:r>
    </w:p>
    <w:p w:rsidR="0092627A" w:rsidRPr="0092627A" w:rsidRDefault="0092627A" w:rsidP="0092627A">
      <w:pPr>
        <w:tabs>
          <w:tab w:val="left" w:pos="566"/>
        </w:tabs>
        <w:spacing w:after="0" w:line="240" w:lineRule="exact"/>
        <w:jc w:val="both"/>
        <w:rPr>
          <w:rFonts w:ascii="Arial" w:eastAsia="ヒラギノ明朝 Pro W3" w:hAnsi="Arial" w:cs="Arial"/>
          <w:sz w:val="20"/>
          <w:szCs w:val="20"/>
          <w:lang w:eastAsia="en-US"/>
        </w:rPr>
      </w:pPr>
      <w:r w:rsidRPr="0092627A">
        <w:rPr>
          <w:rFonts w:ascii="Arial" w:eastAsia="ヒラギノ明朝 Pro W3" w:hAnsi="Arial" w:cs="Arial"/>
          <w:sz w:val="20"/>
          <w:szCs w:val="20"/>
          <w:lang w:eastAsia="en-US"/>
        </w:rPr>
        <w:tab/>
      </w:r>
      <w:r w:rsidRPr="0092627A">
        <w:rPr>
          <w:rFonts w:ascii="Arial" w:eastAsia="ヒラギノ明朝 Pro W3" w:hAnsi="Arial" w:cs="Arial"/>
          <w:b/>
          <w:sz w:val="20"/>
          <w:szCs w:val="20"/>
          <w:lang w:eastAsia="en-US"/>
        </w:rPr>
        <w:t>MADDE 5 –</w:t>
      </w:r>
      <w:r w:rsidRPr="0092627A">
        <w:rPr>
          <w:rFonts w:ascii="Arial" w:eastAsia="ヒラギノ明朝 Pro W3" w:hAnsi="Arial" w:cs="Arial"/>
          <w:sz w:val="20"/>
          <w:szCs w:val="20"/>
          <w:lang w:eastAsia="en-US"/>
        </w:rPr>
        <w:t xml:space="preserve"> Aynı Yönetmeliğin 12 </w:t>
      </w:r>
      <w:proofErr w:type="spellStart"/>
      <w:r w:rsidRPr="0092627A">
        <w:rPr>
          <w:rFonts w:ascii="Arial" w:eastAsia="ヒラギノ明朝 Pro W3" w:hAnsi="Arial" w:cs="Arial"/>
          <w:sz w:val="20"/>
          <w:szCs w:val="20"/>
          <w:lang w:eastAsia="en-US"/>
        </w:rPr>
        <w:t>nci</w:t>
      </w:r>
      <w:proofErr w:type="spellEnd"/>
      <w:r w:rsidRPr="0092627A">
        <w:rPr>
          <w:rFonts w:ascii="Arial" w:eastAsia="ヒラギノ明朝 Pro W3" w:hAnsi="Arial" w:cs="Arial"/>
          <w:sz w:val="20"/>
          <w:szCs w:val="20"/>
          <w:lang w:eastAsia="en-US"/>
        </w:rPr>
        <w:t xml:space="preserve"> maddesinin ikinci fıkrasına aşağıdaki (g) bendi eklenmiştir. </w:t>
      </w:r>
    </w:p>
    <w:p w:rsidR="0092627A" w:rsidRPr="0092627A" w:rsidRDefault="0092627A" w:rsidP="0092627A">
      <w:pPr>
        <w:tabs>
          <w:tab w:val="left" w:pos="566"/>
        </w:tabs>
        <w:spacing w:after="0" w:line="240" w:lineRule="exact"/>
        <w:jc w:val="both"/>
        <w:rPr>
          <w:rFonts w:ascii="Arial" w:eastAsia="ヒラギノ明朝 Pro W3" w:hAnsi="Arial" w:cs="Arial"/>
          <w:sz w:val="20"/>
          <w:szCs w:val="20"/>
          <w:lang w:eastAsia="en-US"/>
        </w:rPr>
      </w:pPr>
      <w:r w:rsidRPr="0092627A">
        <w:rPr>
          <w:rFonts w:ascii="Arial" w:eastAsia="ヒラギノ明朝 Pro W3" w:hAnsi="Arial" w:cs="Arial"/>
          <w:sz w:val="20"/>
          <w:szCs w:val="20"/>
          <w:lang w:eastAsia="en-US"/>
        </w:rPr>
        <w:tab/>
        <w:t>“g) Ana hizmetlerin uzantısı veya tamamlayıcısı niteliğinde olan hizmet alımları da iç denetim sistemi kapsamında değerlendirilir.”</w:t>
      </w:r>
    </w:p>
    <w:p w:rsidR="0092627A" w:rsidRPr="0092627A" w:rsidRDefault="0092627A" w:rsidP="0092627A">
      <w:pPr>
        <w:tabs>
          <w:tab w:val="left" w:pos="566"/>
        </w:tabs>
        <w:spacing w:after="0" w:line="240" w:lineRule="exact"/>
        <w:jc w:val="both"/>
        <w:rPr>
          <w:rFonts w:ascii="Arial" w:eastAsia="ヒラギノ明朝 Pro W3" w:hAnsi="Arial" w:cs="Arial"/>
          <w:sz w:val="20"/>
          <w:szCs w:val="20"/>
          <w:lang w:eastAsia="en-US"/>
        </w:rPr>
      </w:pPr>
      <w:r w:rsidRPr="0092627A">
        <w:rPr>
          <w:rFonts w:ascii="Arial" w:eastAsia="ヒラギノ明朝 Pro W3" w:hAnsi="Arial" w:cs="Arial"/>
          <w:sz w:val="20"/>
          <w:szCs w:val="20"/>
          <w:lang w:eastAsia="en-US"/>
        </w:rPr>
        <w:tab/>
      </w:r>
      <w:r w:rsidRPr="0092627A">
        <w:rPr>
          <w:rFonts w:ascii="Arial" w:eastAsia="ヒラギノ明朝 Pro W3" w:hAnsi="Arial" w:cs="Arial"/>
          <w:b/>
          <w:sz w:val="20"/>
          <w:szCs w:val="20"/>
          <w:lang w:eastAsia="en-US"/>
        </w:rPr>
        <w:t>MADDE 6 –</w:t>
      </w:r>
      <w:r w:rsidRPr="0092627A">
        <w:rPr>
          <w:rFonts w:ascii="Arial" w:eastAsia="ヒラギノ明朝 Pro W3" w:hAnsi="Arial" w:cs="Arial"/>
          <w:sz w:val="20"/>
          <w:szCs w:val="20"/>
          <w:lang w:eastAsia="en-US"/>
        </w:rPr>
        <w:t xml:space="preserve"> Aynı </w:t>
      </w:r>
      <w:proofErr w:type="gramStart"/>
      <w:r w:rsidRPr="0092627A">
        <w:rPr>
          <w:rFonts w:ascii="Arial" w:eastAsia="ヒラギノ明朝 Pro W3" w:hAnsi="Arial" w:cs="Arial"/>
          <w:sz w:val="20"/>
          <w:szCs w:val="20"/>
          <w:lang w:eastAsia="en-US"/>
        </w:rPr>
        <w:t>Yönetmeliğin  18</w:t>
      </w:r>
      <w:proofErr w:type="gramEnd"/>
      <w:r w:rsidRPr="0092627A">
        <w:rPr>
          <w:rFonts w:ascii="Arial" w:eastAsia="ヒラギノ明朝 Pro W3" w:hAnsi="Arial" w:cs="Arial"/>
          <w:sz w:val="20"/>
          <w:szCs w:val="20"/>
          <w:lang w:eastAsia="en-US"/>
        </w:rPr>
        <w:t xml:space="preserve"> inci maddesine aşağıdaki ikinci fıkra eklenmiştir.</w:t>
      </w:r>
    </w:p>
    <w:p w:rsidR="0092627A" w:rsidRPr="0092627A" w:rsidRDefault="0092627A" w:rsidP="0092627A">
      <w:pPr>
        <w:tabs>
          <w:tab w:val="left" w:pos="566"/>
        </w:tabs>
        <w:spacing w:after="0" w:line="240" w:lineRule="exact"/>
        <w:jc w:val="both"/>
        <w:rPr>
          <w:rFonts w:ascii="Arial" w:eastAsia="ヒラギノ明朝 Pro W3" w:hAnsi="Arial" w:cs="Arial"/>
          <w:sz w:val="20"/>
          <w:szCs w:val="20"/>
          <w:lang w:eastAsia="en-US"/>
        </w:rPr>
      </w:pPr>
      <w:r w:rsidRPr="0092627A">
        <w:rPr>
          <w:rFonts w:ascii="Arial" w:eastAsia="ヒラギノ明朝 Pro W3" w:hAnsi="Arial" w:cs="Arial"/>
          <w:sz w:val="20"/>
          <w:szCs w:val="20"/>
          <w:lang w:eastAsia="en-US"/>
        </w:rPr>
        <w:t xml:space="preserve"> </w:t>
      </w:r>
      <w:r w:rsidRPr="0092627A">
        <w:rPr>
          <w:rFonts w:ascii="Arial" w:eastAsia="ヒラギノ明朝 Pro W3" w:hAnsi="Arial" w:cs="Arial"/>
          <w:sz w:val="20"/>
          <w:szCs w:val="20"/>
          <w:lang w:eastAsia="en-US"/>
        </w:rPr>
        <w:tab/>
        <w:t>“(2) İç denetim raporları yönetim kurulunda gündeme alınır ve rapor sonuçlarına göre yapılacak işlemler karara bağlanır.”</w:t>
      </w:r>
    </w:p>
    <w:p w:rsidR="0092627A" w:rsidRPr="0092627A" w:rsidRDefault="0092627A" w:rsidP="0092627A">
      <w:pPr>
        <w:tabs>
          <w:tab w:val="left" w:pos="566"/>
        </w:tabs>
        <w:spacing w:after="0" w:line="240" w:lineRule="exact"/>
        <w:jc w:val="both"/>
        <w:rPr>
          <w:rFonts w:ascii="Arial" w:eastAsia="ヒラギノ明朝 Pro W3" w:hAnsi="Arial" w:cs="Arial"/>
          <w:sz w:val="20"/>
          <w:szCs w:val="20"/>
          <w:lang w:eastAsia="en-US"/>
        </w:rPr>
      </w:pPr>
      <w:r w:rsidRPr="0092627A">
        <w:rPr>
          <w:rFonts w:ascii="Arial" w:eastAsia="ヒラギノ明朝 Pro W3" w:hAnsi="Arial" w:cs="Arial"/>
          <w:sz w:val="20"/>
          <w:szCs w:val="20"/>
          <w:lang w:eastAsia="en-US"/>
        </w:rPr>
        <w:tab/>
      </w:r>
      <w:r w:rsidRPr="0092627A">
        <w:rPr>
          <w:rFonts w:ascii="Arial" w:eastAsia="ヒラギノ明朝 Pro W3" w:hAnsi="Arial" w:cs="Arial"/>
          <w:b/>
          <w:sz w:val="20"/>
          <w:szCs w:val="20"/>
          <w:lang w:eastAsia="en-US"/>
        </w:rPr>
        <w:t>MADDE 7 –</w:t>
      </w:r>
      <w:r w:rsidRPr="0092627A">
        <w:rPr>
          <w:rFonts w:ascii="Arial" w:eastAsia="ヒラギノ明朝 Pro W3" w:hAnsi="Arial" w:cs="Arial"/>
          <w:sz w:val="20"/>
          <w:szCs w:val="20"/>
          <w:lang w:eastAsia="en-US"/>
        </w:rPr>
        <w:t xml:space="preserve"> Bu Yönetmelik yayımı tarihinde yürürlüğe girer.</w:t>
      </w:r>
    </w:p>
    <w:p w:rsidR="0092627A" w:rsidRPr="0092627A" w:rsidRDefault="0092627A" w:rsidP="0092627A">
      <w:pPr>
        <w:tabs>
          <w:tab w:val="left" w:pos="566"/>
        </w:tabs>
        <w:spacing w:after="0" w:line="240" w:lineRule="exact"/>
        <w:jc w:val="both"/>
        <w:rPr>
          <w:rFonts w:ascii="Arial" w:eastAsia="ヒラギノ明朝 Pro W3" w:hAnsi="Arial" w:cs="Arial"/>
          <w:sz w:val="20"/>
          <w:szCs w:val="20"/>
          <w:lang w:eastAsia="en-US"/>
        </w:rPr>
      </w:pPr>
      <w:r w:rsidRPr="0092627A">
        <w:rPr>
          <w:rFonts w:ascii="Arial" w:eastAsia="ヒラギノ明朝 Pro W3" w:hAnsi="Arial" w:cs="Arial"/>
          <w:sz w:val="20"/>
          <w:szCs w:val="20"/>
          <w:lang w:eastAsia="en-US"/>
        </w:rPr>
        <w:tab/>
      </w:r>
      <w:r w:rsidRPr="0092627A">
        <w:rPr>
          <w:rFonts w:ascii="Arial" w:eastAsia="ヒラギノ明朝 Pro W3" w:hAnsi="Arial" w:cs="Arial"/>
          <w:b/>
          <w:sz w:val="20"/>
          <w:szCs w:val="20"/>
          <w:lang w:eastAsia="en-US"/>
        </w:rPr>
        <w:t>MADDE 8 –</w:t>
      </w:r>
      <w:r w:rsidRPr="0092627A">
        <w:rPr>
          <w:rFonts w:ascii="Arial" w:eastAsia="ヒラギノ明朝 Pro W3" w:hAnsi="Arial" w:cs="Arial"/>
          <w:sz w:val="20"/>
          <w:szCs w:val="20"/>
          <w:lang w:eastAsia="en-US"/>
        </w:rPr>
        <w:t xml:space="preserve"> Bu Yönetmelik hükümlerini Hazine Müsteşarlığının bağlı bulunduğu Bakan yürütür.</w:t>
      </w:r>
    </w:p>
    <w:p w:rsidR="0092627A" w:rsidRPr="0092627A" w:rsidRDefault="0092627A" w:rsidP="0092627A">
      <w:pPr>
        <w:tabs>
          <w:tab w:val="left" w:pos="566"/>
        </w:tabs>
        <w:spacing w:after="0" w:line="240" w:lineRule="exact"/>
        <w:jc w:val="both"/>
        <w:rPr>
          <w:rFonts w:ascii="Arial" w:eastAsia="ヒラギノ明朝 Pro W3" w:hAnsi="Arial" w:cs="Arial"/>
          <w:sz w:val="20"/>
          <w:szCs w:val="20"/>
          <w:lang w:eastAsia="en-US"/>
        </w:rPr>
      </w:pPr>
    </w:p>
    <w:tbl>
      <w:tblPr>
        <w:tblW w:w="9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4"/>
        <w:gridCol w:w="4759"/>
      </w:tblGrid>
      <w:tr w:rsidR="0092627A" w:rsidRPr="0092627A" w:rsidTr="00750315">
        <w:trPr>
          <w:trHeight w:val="285"/>
          <w:jc w:val="center"/>
        </w:trPr>
        <w:tc>
          <w:tcPr>
            <w:tcW w:w="9133" w:type="dxa"/>
            <w:gridSpan w:val="2"/>
            <w:tcBorders>
              <w:top w:val="single" w:sz="4" w:space="0" w:color="auto"/>
              <w:left w:val="single" w:sz="4" w:space="0" w:color="auto"/>
              <w:bottom w:val="nil"/>
              <w:right w:val="single" w:sz="4" w:space="0" w:color="auto"/>
            </w:tcBorders>
            <w:hideMark/>
          </w:tcPr>
          <w:p w:rsidR="0092627A" w:rsidRPr="0092627A" w:rsidRDefault="0092627A" w:rsidP="00750315">
            <w:pPr>
              <w:spacing w:after="0" w:line="240" w:lineRule="auto"/>
              <w:jc w:val="center"/>
              <w:rPr>
                <w:rFonts w:ascii="Arial" w:eastAsia="Times New Roman" w:hAnsi="Arial" w:cs="Arial"/>
                <w:b/>
                <w:sz w:val="20"/>
                <w:szCs w:val="20"/>
                <w:lang w:val="en-GB"/>
              </w:rPr>
            </w:pPr>
            <w:proofErr w:type="spellStart"/>
            <w:r w:rsidRPr="0092627A">
              <w:rPr>
                <w:rFonts w:ascii="Arial" w:eastAsia="Times New Roman" w:hAnsi="Arial" w:cs="Arial"/>
                <w:b/>
                <w:sz w:val="20"/>
                <w:szCs w:val="20"/>
                <w:lang w:val="en-GB"/>
              </w:rPr>
              <w:t>Yönetmeliğin</w:t>
            </w:r>
            <w:proofErr w:type="spellEnd"/>
            <w:r w:rsidRPr="0092627A">
              <w:rPr>
                <w:rFonts w:ascii="Arial" w:eastAsia="Times New Roman" w:hAnsi="Arial" w:cs="Arial"/>
                <w:b/>
                <w:sz w:val="20"/>
                <w:szCs w:val="20"/>
                <w:lang w:val="en-GB"/>
              </w:rPr>
              <w:t xml:space="preserve"> </w:t>
            </w:r>
            <w:proofErr w:type="spellStart"/>
            <w:r w:rsidRPr="0092627A">
              <w:rPr>
                <w:rFonts w:ascii="Arial" w:eastAsia="Times New Roman" w:hAnsi="Arial" w:cs="Arial"/>
                <w:b/>
                <w:sz w:val="20"/>
                <w:szCs w:val="20"/>
                <w:lang w:val="en-GB"/>
              </w:rPr>
              <w:t>Yayımlandığı</w:t>
            </w:r>
            <w:proofErr w:type="spellEnd"/>
            <w:r w:rsidRPr="0092627A">
              <w:rPr>
                <w:rFonts w:ascii="Arial" w:eastAsia="Times New Roman" w:hAnsi="Arial" w:cs="Arial"/>
                <w:b/>
                <w:sz w:val="20"/>
                <w:szCs w:val="20"/>
                <w:lang w:val="en-GB"/>
              </w:rPr>
              <w:t xml:space="preserve"> </w:t>
            </w:r>
            <w:proofErr w:type="spellStart"/>
            <w:r w:rsidRPr="0092627A">
              <w:rPr>
                <w:rFonts w:ascii="Arial" w:eastAsia="Times New Roman" w:hAnsi="Arial" w:cs="Arial"/>
                <w:b/>
                <w:sz w:val="20"/>
                <w:szCs w:val="20"/>
                <w:lang w:val="en-GB"/>
              </w:rPr>
              <w:t>Resmî</w:t>
            </w:r>
            <w:proofErr w:type="spellEnd"/>
            <w:r w:rsidRPr="0092627A">
              <w:rPr>
                <w:rFonts w:ascii="Arial" w:eastAsia="Times New Roman" w:hAnsi="Arial" w:cs="Arial"/>
                <w:b/>
                <w:sz w:val="20"/>
                <w:szCs w:val="20"/>
                <w:lang w:val="en-GB"/>
              </w:rPr>
              <w:t xml:space="preserve"> </w:t>
            </w:r>
            <w:proofErr w:type="spellStart"/>
            <w:r w:rsidRPr="0092627A">
              <w:rPr>
                <w:rFonts w:ascii="Arial" w:eastAsia="Times New Roman" w:hAnsi="Arial" w:cs="Arial"/>
                <w:b/>
                <w:sz w:val="20"/>
                <w:szCs w:val="20"/>
                <w:lang w:val="en-GB"/>
              </w:rPr>
              <w:t>Gazete’nin</w:t>
            </w:r>
            <w:proofErr w:type="spellEnd"/>
          </w:p>
        </w:tc>
      </w:tr>
      <w:tr w:rsidR="0092627A" w:rsidRPr="0092627A" w:rsidTr="00750315">
        <w:trPr>
          <w:trHeight w:val="228"/>
          <w:jc w:val="center"/>
        </w:trPr>
        <w:tc>
          <w:tcPr>
            <w:tcW w:w="4374" w:type="dxa"/>
            <w:tcBorders>
              <w:top w:val="nil"/>
              <w:left w:val="single" w:sz="4" w:space="0" w:color="auto"/>
              <w:bottom w:val="single" w:sz="4" w:space="0" w:color="auto"/>
              <w:right w:val="nil"/>
            </w:tcBorders>
            <w:hideMark/>
          </w:tcPr>
          <w:p w:rsidR="0092627A" w:rsidRPr="0092627A" w:rsidRDefault="0092627A" w:rsidP="00750315">
            <w:pPr>
              <w:spacing w:after="0" w:line="240" w:lineRule="auto"/>
              <w:jc w:val="center"/>
              <w:rPr>
                <w:rFonts w:ascii="Arial" w:eastAsia="Times New Roman" w:hAnsi="Arial" w:cs="Arial"/>
                <w:b/>
                <w:sz w:val="20"/>
                <w:szCs w:val="20"/>
                <w:lang w:val="en-GB"/>
              </w:rPr>
            </w:pPr>
            <w:proofErr w:type="spellStart"/>
            <w:r w:rsidRPr="0092627A">
              <w:rPr>
                <w:rFonts w:ascii="Arial" w:eastAsia="Times New Roman" w:hAnsi="Arial" w:cs="Arial"/>
                <w:b/>
                <w:sz w:val="20"/>
                <w:szCs w:val="20"/>
                <w:lang w:val="en-GB"/>
              </w:rPr>
              <w:t>Tarihi</w:t>
            </w:r>
            <w:proofErr w:type="spellEnd"/>
          </w:p>
        </w:tc>
        <w:tc>
          <w:tcPr>
            <w:tcW w:w="4759" w:type="dxa"/>
            <w:tcBorders>
              <w:top w:val="nil"/>
              <w:left w:val="nil"/>
              <w:bottom w:val="single" w:sz="4" w:space="0" w:color="auto"/>
              <w:right w:val="single" w:sz="4" w:space="0" w:color="auto"/>
            </w:tcBorders>
            <w:hideMark/>
          </w:tcPr>
          <w:p w:rsidR="0092627A" w:rsidRPr="0092627A" w:rsidRDefault="0092627A" w:rsidP="00750315">
            <w:pPr>
              <w:spacing w:after="0" w:line="240" w:lineRule="auto"/>
              <w:jc w:val="center"/>
              <w:rPr>
                <w:rFonts w:ascii="Arial" w:eastAsia="Times New Roman" w:hAnsi="Arial" w:cs="Arial"/>
                <w:b/>
                <w:sz w:val="20"/>
                <w:szCs w:val="20"/>
                <w:lang w:val="en-GB"/>
              </w:rPr>
            </w:pPr>
            <w:proofErr w:type="spellStart"/>
            <w:r w:rsidRPr="0092627A">
              <w:rPr>
                <w:rFonts w:ascii="Arial" w:eastAsia="Times New Roman" w:hAnsi="Arial" w:cs="Arial"/>
                <w:b/>
                <w:sz w:val="20"/>
                <w:szCs w:val="20"/>
                <w:lang w:val="en-GB"/>
              </w:rPr>
              <w:t>Sayısı</w:t>
            </w:r>
            <w:proofErr w:type="spellEnd"/>
          </w:p>
        </w:tc>
      </w:tr>
      <w:tr w:rsidR="0092627A" w:rsidRPr="0092627A" w:rsidTr="00750315">
        <w:trPr>
          <w:trHeight w:val="228"/>
          <w:jc w:val="center"/>
        </w:trPr>
        <w:tc>
          <w:tcPr>
            <w:tcW w:w="4374" w:type="dxa"/>
            <w:tcBorders>
              <w:top w:val="single" w:sz="4" w:space="0" w:color="auto"/>
              <w:left w:val="single" w:sz="4" w:space="0" w:color="auto"/>
              <w:bottom w:val="single" w:sz="4" w:space="0" w:color="auto"/>
              <w:right w:val="single" w:sz="4" w:space="0" w:color="auto"/>
            </w:tcBorders>
            <w:hideMark/>
          </w:tcPr>
          <w:p w:rsidR="0092627A" w:rsidRPr="0092627A" w:rsidRDefault="0092627A" w:rsidP="00750315">
            <w:pPr>
              <w:spacing w:after="0" w:line="240" w:lineRule="auto"/>
              <w:jc w:val="center"/>
              <w:rPr>
                <w:rFonts w:ascii="Arial" w:eastAsia="Times New Roman" w:hAnsi="Arial" w:cs="Arial"/>
                <w:sz w:val="20"/>
                <w:szCs w:val="20"/>
                <w:lang w:val="en-GB"/>
              </w:rPr>
            </w:pPr>
            <w:r w:rsidRPr="0092627A">
              <w:rPr>
                <w:rFonts w:ascii="Arial" w:eastAsia="Times New Roman" w:hAnsi="Arial" w:cs="Arial"/>
                <w:sz w:val="20"/>
                <w:szCs w:val="20"/>
                <w:lang w:val="en-GB"/>
              </w:rPr>
              <w:t>21/6/2008</w:t>
            </w:r>
          </w:p>
        </w:tc>
        <w:tc>
          <w:tcPr>
            <w:tcW w:w="4759" w:type="dxa"/>
            <w:tcBorders>
              <w:top w:val="single" w:sz="4" w:space="0" w:color="auto"/>
              <w:left w:val="single" w:sz="4" w:space="0" w:color="auto"/>
              <w:bottom w:val="single" w:sz="4" w:space="0" w:color="auto"/>
              <w:right w:val="single" w:sz="4" w:space="0" w:color="auto"/>
            </w:tcBorders>
            <w:hideMark/>
          </w:tcPr>
          <w:p w:rsidR="0092627A" w:rsidRPr="0092627A" w:rsidRDefault="0092627A" w:rsidP="00750315">
            <w:pPr>
              <w:spacing w:after="0" w:line="240" w:lineRule="auto"/>
              <w:jc w:val="center"/>
              <w:rPr>
                <w:rFonts w:ascii="Arial" w:eastAsia="Times New Roman" w:hAnsi="Arial" w:cs="Arial"/>
                <w:sz w:val="20"/>
                <w:szCs w:val="20"/>
                <w:lang w:val="en-GB"/>
              </w:rPr>
            </w:pPr>
            <w:r w:rsidRPr="0092627A">
              <w:rPr>
                <w:rFonts w:ascii="Arial" w:eastAsia="Times New Roman" w:hAnsi="Arial" w:cs="Arial"/>
                <w:sz w:val="20"/>
                <w:szCs w:val="20"/>
                <w:lang w:val="en-GB"/>
              </w:rPr>
              <w:t>26913</w:t>
            </w:r>
          </w:p>
        </w:tc>
      </w:tr>
    </w:tbl>
    <w:p w:rsidR="0092627A" w:rsidRPr="0092627A" w:rsidRDefault="0092627A" w:rsidP="0092627A">
      <w:pPr>
        <w:tabs>
          <w:tab w:val="left" w:pos="566"/>
        </w:tabs>
        <w:spacing w:after="0" w:line="240" w:lineRule="exact"/>
        <w:jc w:val="both"/>
        <w:rPr>
          <w:rFonts w:ascii="Arial" w:eastAsia="ヒラギノ明朝 Pro W3" w:hAnsi="Arial" w:cs="Arial"/>
          <w:sz w:val="20"/>
          <w:szCs w:val="20"/>
          <w:lang w:eastAsia="en-US"/>
        </w:rPr>
      </w:pPr>
    </w:p>
    <w:p w:rsidR="0092627A" w:rsidRPr="0092627A" w:rsidRDefault="0092627A" w:rsidP="0092627A">
      <w:pPr>
        <w:rPr>
          <w:rFonts w:ascii="Arial" w:hAnsi="Arial" w:cs="Arial"/>
          <w:sz w:val="20"/>
          <w:szCs w:val="20"/>
        </w:rPr>
      </w:pPr>
    </w:p>
    <w:p w:rsidR="0092627A" w:rsidRPr="0092627A" w:rsidRDefault="0092627A">
      <w:pPr>
        <w:rPr>
          <w:rFonts w:ascii="Arial" w:hAnsi="Arial" w:cs="Arial"/>
          <w:sz w:val="20"/>
          <w:szCs w:val="20"/>
        </w:rPr>
      </w:pPr>
    </w:p>
    <w:sectPr w:rsidR="0092627A" w:rsidRPr="009262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ヒラギノ明朝 Pro W3">
    <w:charset w:val="80"/>
    <w:family w:val="auto"/>
    <w:pitch w:val="variable"/>
    <w:sig w:usb0="00000001" w:usb1="00000000" w:usb2="01000407" w:usb3="00000000" w:csb0="00020000"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2627A"/>
    <w:rsid w:val="0092627A"/>
    <w:rsid w:val="00E2126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891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1731</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EGM 6642</dc:creator>
  <cp:keywords/>
  <dc:description/>
  <cp:lastModifiedBy> EGM 6642</cp:lastModifiedBy>
  <cp:revision>4</cp:revision>
  <dcterms:created xsi:type="dcterms:W3CDTF">2011-03-17T07:56:00Z</dcterms:created>
  <dcterms:modified xsi:type="dcterms:W3CDTF">2011-03-17T07:57:00Z</dcterms:modified>
</cp:coreProperties>
</file>