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FB8" w:rsidRPr="00983FB8" w:rsidRDefault="00983FB8">
      <w:pPr>
        <w:rPr>
          <w:rFonts w:ascii="Arial" w:hAnsi="Arial" w:cs="Arial"/>
          <w:sz w:val="20"/>
          <w:szCs w:val="20"/>
        </w:rPr>
      </w:pPr>
      <w:r w:rsidRPr="00983FB8">
        <w:rPr>
          <w:rFonts w:ascii="Arial" w:eastAsia="Times New Roman" w:hAnsi="Arial" w:cs="Arial"/>
          <w:b/>
          <w:sz w:val="20"/>
          <w:szCs w:val="20"/>
        </w:rPr>
        <w:t>Resmi Gazete</w:t>
      </w:r>
      <w:r w:rsidRPr="00983FB8">
        <w:rPr>
          <w:rFonts w:ascii="Arial" w:eastAsia="Times New Roman" w:hAnsi="Arial" w:cs="Arial"/>
          <w:b/>
          <w:sz w:val="20"/>
          <w:szCs w:val="20"/>
        </w:rPr>
        <w:tab/>
        <w:t xml:space="preserve">: </w:t>
      </w:r>
      <w:r w:rsidRPr="00983FB8">
        <w:rPr>
          <w:rFonts w:ascii="Arial" w:eastAsia="Times New Roman" w:hAnsi="Arial" w:cs="Arial"/>
          <w:sz w:val="20"/>
          <w:szCs w:val="20"/>
        </w:rPr>
        <w:t>17 Mart 2011</w:t>
      </w:r>
    </w:p>
    <w:p w:rsidR="00983FB8" w:rsidRPr="00983FB8" w:rsidRDefault="00983FB8">
      <w:pPr>
        <w:rPr>
          <w:rFonts w:ascii="Arial" w:hAnsi="Arial" w:cs="Arial"/>
          <w:b/>
          <w:sz w:val="20"/>
          <w:szCs w:val="20"/>
        </w:rPr>
      </w:pPr>
      <w:r w:rsidRPr="00983FB8">
        <w:rPr>
          <w:rFonts w:ascii="Arial" w:hAnsi="Arial" w:cs="Arial"/>
          <w:b/>
          <w:sz w:val="20"/>
          <w:szCs w:val="20"/>
        </w:rPr>
        <w:t>Sayı</w:t>
      </w:r>
      <w:r w:rsidRPr="00983FB8">
        <w:rPr>
          <w:rFonts w:ascii="Arial" w:hAnsi="Arial" w:cs="Arial"/>
          <w:b/>
          <w:sz w:val="20"/>
          <w:szCs w:val="20"/>
        </w:rPr>
        <w:tab/>
      </w:r>
      <w:r w:rsidRPr="00983FB8">
        <w:rPr>
          <w:rFonts w:ascii="Arial" w:hAnsi="Arial" w:cs="Arial"/>
          <w:b/>
          <w:sz w:val="20"/>
          <w:szCs w:val="20"/>
        </w:rPr>
        <w:tab/>
        <w:t>:</w:t>
      </w:r>
      <w:r w:rsidRPr="00983FB8">
        <w:rPr>
          <w:rFonts w:ascii="Arial" w:eastAsia="Times New Roman" w:hAnsi="Arial" w:cs="Arial"/>
          <w:sz w:val="20"/>
          <w:szCs w:val="20"/>
        </w:rPr>
        <w:t xml:space="preserve"> 27877</w:t>
      </w:r>
      <w:r w:rsidRPr="00983FB8">
        <w:rPr>
          <w:rFonts w:ascii="Arial" w:hAnsi="Arial" w:cs="Arial"/>
          <w:b/>
          <w:sz w:val="20"/>
          <w:szCs w:val="20"/>
        </w:rPr>
        <w:tab/>
      </w:r>
    </w:p>
    <w:tbl>
      <w:tblPr>
        <w:tblW w:w="9288" w:type="dxa"/>
        <w:jc w:val="center"/>
        <w:tblLook w:val="01E0"/>
      </w:tblPr>
      <w:tblGrid>
        <w:gridCol w:w="9288"/>
      </w:tblGrid>
      <w:tr w:rsidR="003E5305" w:rsidRPr="00983FB8" w:rsidTr="00983FB8">
        <w:trPr>
          <w:trHeight w:val="480"/>
          <w:jc w:val="center"/>
        </w:trPr>
        <w:tc>
          <w:tcPr>
            <w:tcW w:w="9288" w:type="dxa"/>
            <w:vAlign w:val="center"/>
          </w:tcPr>
          <w:p w:rsidR="003E5305" w:rsidRPr="00983FB8" w:rsidRDefault="003E5305" w:rsidP="003E5305">
            <w:pPr>
              <w:tabs>
                <w:tab w:val="left" w:pos="708"/>
              </w:tabs>
              <w:spacing w:after="0" w:line="240" w:lineRule="exact"/>
              <w:ind w:firstLine="567"/>
              <w:rPr>
                <w:rFonts w:ascii="Arial" w:eastAsia="ヒラギノ明朝 Pro W3" w:hAnsi="Arial" w:cs="Arial"/>
                <w:sz w:val="20"/>
                <w:szCs w:val="20"/>
                <w:u w:val="single"/>
                <w:lang w:eastAsia="en-US"/>
              </w:rPr>
            </w:pPr>
            <w:r w:rsidRPr="00983FB8">
              <w:rPr>
                <w:rFonts w:ascii="Arial" w:eastAsia="ヒラギノ明朝 Pro W3" w:hAnsi="Arial" w:cs="Arial"/>
                <w:sz w:val="20"/>
                <w:szCs w:val="20"/>
                <w:u w:val="single"/>
                <w:lang w:eastAsia="en-US"/>
              </w:rPr>
              <w:t>Başbakanlık (Hazine Müsteşarlığı)’tan:</w:t>
            </w:r>
          </w:p>
          <w:p w:rsidR="00983FB8" w:rsidRPr="00983FB8" w:rsidRDefault="00983FB8" w:rsidP="003E5305">
            <w:pPr>
              <w:tabs>
                <w:tab w:val="left" w:pos="708"/>
              </w:tabs>
              <w:spacing w:after="0" w:line="240" w:lineRule="exact"/>
              <w:ind w:firstLine="567"/>
              <w:rPr>
                <w:rFonts w:ascii="Arial" w:eastAsia="ヒラギノ明朝 Pro W3" w:hAnsi="Arial" w:cs="Arial"/>
                <w:sz w:val="20"/>
                <w:szCs w:val="20"/>
                <w:u w:val="single"/>
                <w:lang w:eastAsia="en-US"/>
              </w:rPr>
            </w:pPr>
          </w:p>
          <w:p w:rsidR="003E5305" w:rsidRPr="00983FB8" w:rsidRDefault="003E5305" w:rsidP="003E5305">
            <w:pPr>
              <w:spacing w:after="0" w:line="240" w:lineRule="exact"/>
              <w:jc w:val="center"/>
              <w:rPr>
                <w:rFonts w:ascii="Arial" w:eastAsia="ヒラギノ明朝 Pro W3" w:hAnsi="Arial" w:cs="Arial"/>
                <w:b/>
                <w:sz w:val="20"/>
                <w:szCs w:val="20"/>
                <w:lang w:eastAsia="en-US"/>
              </w:rPr>
            </w:pPr>
            <w:r w:rsidRPr="00983FB8">
              <w:rPr>
                <w:rFonts w:ascii="Arial" w:eastAsia="ヒラギノ明朝 Pro W3" w:hAnsi="Arial" w:cs="Arial"/>
                <w:b/>
                <w:sz w:val="20"/>
                <w:szCs w:val="20"/>
                <w:lang w:eastAsia="en-US"/>
              </w:rPr>
              <w:t xml:space="preserve">SİGORTA VE REASÜRANS İLE EMEKLİLİK ŞİRKETLERİNİN MALİ </w:t>
            </w:r>
          </w:p>
          <w:p w:rsidR="003E5305" w:rsidRPr="00983FB8" w:rsidRDefault="003E5305" w:rsidP="003E5305">
            <w:pPr>
              <w:spacing w:after="0" w:line="240" w:lineRule="exact"/>
              <w:jc w:val="center"/>
              <w:rPr>
                <w:rFonts w:ascii="Arial" w:eastAsia="ヒラギノ明朝 Pro W3" w:hAnsi="Arial" w:cs="Arial"/>
                <w:b/>
                <w:sz w:val="20"/>
                <w:szCs w:val="20"/>
                <w:lang w:eastAsia="en-US"/>
              </w:rPr>
            </w:pPr>
            <w:r w:rsidRPr="00983FB8">
              <w:rPr>
                <w:rFonts w:ascii="Arial" w:eastAsia="ヒラギノ明朝 Pro W3" w:hAnsi="Arial" w:cs="Arial"/>
                <w:b/>
                <w:sz w:val="20"/>
                <w:szCs w:val="20"/>
                <w:lang w:eastAsia="en-US"/>
              </w:rPr>
              <w:t>BÜNYELERİNE İLİŞKİN YÖNETMELİKTE DEĞİŞİKLİK</w:t>
            </w:r>
          </w:p>
          <w:p w:rsidR="003E5305" w:rsidRDefault="003E5305" w:rsidP="003E5305">
            <w:pPr>
              <w:spacing w:after="0" w:line="240" w:lineRule="exact"/>
              <w:jc w:val="center"/>
              <w:rPr>
                <w:rFonts w:ascii="Arial" w:eastAsia="ヒラギノ明朝 Pro W3" w:hAnsi="Arial" w:cs="Arial"/>
                <w:b/>
                <w:sz w:val="20"/>
                <w:szCs w:val="20"/>
                <w:lang w:eastAsia="en-US"/>
              </w:rPr>
            </w:pPr>
            <w:r w:rsidRPr="00983FB8">
              <w:rPr>
                <w:rFonts w:ascii="Arial" w:eastAsia="ヒラギノ明朝 Pro W3" w:hAnsi="Arial" w:cs="Arial"/>
                <w:b/>
                <w:sz w:val="20"/>
                <w:szCs w:val="20"/>
                <w:lang w:eastAsia="en-US"/>
              </w:rPr>
              <w:t>YAPILMASINA DAİR YÖNETMELİK</w:t>
            </w:r>
          </w:p>
          <w:p w:rsidR="004F700D" w:rsidRPr="00983FB8" w:rsidRDefault="004F700D" w:rsidP="003E5305">
            <w:pPr>
              <w:spacing w:after="0" w:line="240" w:lineRule="exact"/>
              <w:jc w:val="center"/>
              <w:rPr>
                <w:rFonts w:ascii="Arial" w:eastAsia="ヒラギノ明朝 Pro W3" w:hAnsi="Arial" w:cs="Arial"/>
                <w:b/>
                <w:sz w:val="20"/>
                <w:szCs w:val="20"/>
                <w:lang w:eastAsia="en-US"/>
              </w:rPr>
            </w:pPr>
          </w:p>
          <w:p w:rsidR="003E5305" w:rsidRPr="00983FB8" w:rsidRDefault="003E5305" w:rsidP="003E5305">
            <w:pPr>
              <w:tabs>
                <w:tab w:val="left" w:pos="566"/>
              </w:tabs>
              <w:spacing w:after="0" w:line="240" w:lineRule="exact"/>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ab/>
            </w:r>
            <w:r w:rsidRPr="00983FB8">
              <w:rPr>
                <w:rFonts w:ascii="Arial" w:eastAsia="ヒラギノ明朝 Pro W3" w:hAnsi="Arial" w:cs="Arial"/>
                <w:b/>
                <w:sz w:val="20"/>
                <w:szCs w:val="20"/>
                <w:lang w:eastAsia="en-US"/>
              </w:rPr>
              <w:t>MADDE 1 –</w:t>
            </w:r>
            <w:r w:rsidRPr="00983FB8">
              <w:rPr>
                <w:rFonts w:ascii="Arial" w:eastAsia="ヒラギノ明朝 Pro W3" w:hAnsi="Arial" w:cs="Arial"/>
                <w:sz w:val="20"/>
                <w:szCs w:val="20"/>
                <w:lang w:eastAsia="en-US"/>
              </w:rPr>
              <w:t xml:space="preserve"> </w:t>
            </w:r>
            <w:proofErr w:type="gramStart"/>
            <w:r w:rsidRPr="00983FB8">
              <w:rPr>
                <w:rFonts w:ascii="Arial" w:eastAsia="ヒラギノ明朝 Pro W3" w:hAnsi="Arial" w:cs="Arial"/>
                <w:sz w:val="20"/>
                <w:szCs w:val="20"/>
                <w:lang w:eastAsia="en-US"/>
              </w:rPr>
              <w:t>7/8/2007</w:t>
            </w:r>
            <w:proofErr w:type="gramEnd"/>
            <w:r w:rsidRPr="00983FB8">
              <w:rPr>
                <w:rFonts w:ascii="Arial" w:eastAsia="ヒラギノ明朝 Pro W3" w:hAnsi="Arial" w:cs="Arial"/>
                <w:sz w:val="20"/>
                <w:szCs w:val="20"/>
                <w:lang w:eastAsia="en-US"/>
              </w:rPr>
              <w:t xml:space="preserve"> tarihli ve 26606 sayılı Resmî Gazete’de yayımlanan Sigorta ve Reasürans ile Emeklilik Şirketlerinin Mali Bünyelerine İlişkin Yönetmeliğin 3 üncü maddesinin birinci fıkrasına aşağıdaki (ğ) ve (h) bentleri eklenmiştir.</w:t>
            </w:r>
          </w:p>
          <w:p w:rsidR="003E5305" w:rsidRPr="00983FB8" w:rsidRDefault="003E5305" w:rsidP="003E5305">
            <w:pPr>
              <w:tabs>
                <w:tab w:val="left" w:pos="566"/>
              </w:tabs>
              <w:spacing w:after="0" w:line="240" w:lineRule="exact"/>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ab/>
              <w:t xml:space="preserve">“(ğ) Finansal holding: İçlerinden en az bir tanesi bir sigorta veya emeklilik şirketi olmak </w:t>
            </w:r>
            <w:proofErr w:type="gramStart"/>
            <w:r w:rsidRPr="00983FB8">
              <w:rPr>
                <w:rFonts w:ascii="Arial" w:eastAsia="ヒラギノ明朝 Pro W3" w:hAnsi="Arial" w:cs="Arial"/>
                <w:sz w:val="20"/>
                <w:szCs w:val="20"/>
                <w:lang w:eastAsia="en-US"/>
              </w:rPr>
              <w:t>şartıyla  bağlı</w:t>
            </w:r>
            <w:proofErr w:type="gramEnd"/>
            <w:r w:rsidRPr="00983FB8">
              <w:rPr>
                <w:rFonts w:ascii="Arial" w:eastAsia="ヒラギノ明朝 Pro W3" w:hAnsi="Arial" w:cs="Arial"/>
                <w:sz w:val="20"/>
                <w:szCs w:val="20"/>
                <w:lang w:eastAsia="en-US"/>
              </w:rPr>
              <w:t xml:space="preserve"> ortaklıklarının tümü veya çoğunluğu finansal kuruluş olan şirketi,”</w:t>
            </w:r>
          </w:p>
          <w:p w:rsidR="003E5305" w:rsidRPr="00983FB8" w:rsidRDefault="003E5305" w:rsidP="003E5305">
            <w:pPr>
              <w:tabs>
                <w:tab w:val="left" w:pos="566"/>
              </w:tabs>
              <w:spacing w:after="0" w:line="240" w:lineRule="exact"/>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ab/>
              <w:t xml:space="preserve">“(h) Sigorta grubu: Sigorta, </w:t>
            </w:r>
            <w:proofErr w:type="gramStart"/>
            <w:r w:rsidRPr="00983FB8">
              <w:rPr>
                <w:rFonts w:ascii="Arial" w:eastAsia="ヒラギノ明朝 Pro W3" w:hAnsi="Arial" w:cs="Arial"/>
                <w:sz w:val="20"/>
                <w:szCs w:val="20"/>
                <w:lang w:eastAsia="en-US"/>
              </w:rPr>
              <w:t>reasürans</w:t>
            </w:r>
            <w:proofErr w:type="gramEnd"/>
            <w:r w:rsidRPr="00983FB8">
              <w:rPr>
                <w:rFonts w:ascii="Arial" w:eastAsia="ヒラギノ明朝 Pro W3" w:hAnsi="Arial" w:cs="Arial"/>
                <w:sz w:val="20"/>
                <w:szCs w:val="20"/>
                <w:lang w:eastAsia="en-US"/>
              </w:rPr>
              <w:t xml:space="preserve"> veya emeklilik şirketlerinden müteşekkil ve bu şirketler arasında bağlı ortaklık ilişkisi bulunan grubu,”</w:t>
            </w:r>
          </w:p>
          <w:p w:rsidR="003E5305" w:rsidRPr="00983FB8" w:rsidRDefault="003E5305" w:rsidP="003E5305">
            <w:pPr>
              <w:tabs>
                <w:tab w:val="left" w:pos="566"/>
              </w:tabs>
              <w:spacing w:after="0" w:line="240" w:lineRule="exact"/>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ab/>
            </w:r>
            <w:r w:rsidRPr="00983FB8">
              <w:rPr>
                <w:rFonts w:ascii="Arial" w:eastAsia="ヒラギノ明朝 Pro W3" w:hAnsi="Arial" w:cs="Arial"/>
                <w:b/>
                <w:sz w:val="20"/>
                <w:szCs w:val="20"/>
                <w:lang w:eastAsia="en-US"/>
              </w:rPr>
              <w:t>MADDE 2 –</w:t>
            </w:r>
            <w:r w:rsidRPr="00983FB8">
              <w:rPr>
                <w:rFonts w:ascii="Arial" w:eastAsia="ヒラギノ明朝 Pro W3" w:hAnsi="Arial" w:cs="Arial"/>
                <w:sz w:val="20"/>
                <w:szCs w:val="20"/>
                <w:lang w:eastAsia="en-US"/>
              </w:rPr>
              <w:t xml:space="preserve"> Aynı Yönetmeliğin Dördüncü Bölüm başlığı “Varlıklara Yönelik Hususlar” olarak değiştirilmiş ve aynı Yönetmeliğe 14 üncü maddesinden sonra gelmek üzere aşağıdaki 14/A ile 14/B maddeleri eklenmiştir.</w:t>
            </w:r>
          </w:p>
          <w:p w:rsidR="003E5305" w:rsidRPr="00983FB8" w:rsidRDefault="003E5305" w:rsidP="003E5305">
            <w:pPr>
              <w:tabs>
                <w:tab w:val="left" w:pos="566"/>
              </w:tabs>
              <w:spacing w:after="0" w:line="240" w:lineRule="exact"/>
              <w:jc w:val="both"/>
              <w:rPr>
                <w:rFonts w:ascii="Arial" w:eastAsia="ヒラギノ明朝 Pro W3" w:hAnsi="Arial" w:cs="Arial"/>
                <w:b/>
                <w:sz w:val="20"/>
                <w:szCs w:val="20"/>
                <w:lang w:eastAsia="en-US"/>
              </w:rPr>
            </w:pPr>
            <w:r w:rsidRPr="00983FB8">
              <w:rPr>
                <w:rFonts w:ascii="Arial" w:eastAsia="ヒラギノ明朝 Pro W3" w:hAnsi="Arial" w:cs="Arial"/>
                <w:sz w:val="20"/>
                <w:szCs w:val="20"/>
                <w:lang w:eastAsia="en-US"/>
              </w:rPr>
              <w:tab/>
            </w:r>
            <w:r w:rsidRPr="00983FB8">
              <w:rPr>
                <w:rFonts w:ascii="Arial" w:eastAsia="ヒラギノ明朝 Pro W3" w:hAnsi="Arial" w:cs="Arial"/>
                <w:b/>
                <w:sz w:val="20"/>
                <w:szCs w:val="20"/>
                <w:lang w:eastAsia="en-US"/>
              </w:rPr>
              <w:t>“Varlık yatırım politikası</w:t>
            </w:r>
          </w:p>
          <w:p w:rsidR="003E5305" w:rsidRPr="00983FB8" w:rsidRDefault="003E5305" w:rsidP="003E5305">
            <w:pPr>
              <w:tabs>
                <w:tab w:val="left" w:pos="566"/>
              </w:tabs>
              <w:spacing w:after="0" w:line="240" w:lineRule="exact"/>
              <w:jc w:val="both"/>
              <w:rPr>
                <w:rFonts w:ascii="Arial" w:eastAsia="ヒラギノ明朝 Pro W3" w:hAnsi="Arial" w:cs="Arial"/>
                <w:sz w:val="20"/>
                <w:szCs w:val="20"/>
                <w:lang w:eastAsia="en-US"/>
              </w:rPr>
            </w:pPr>
            <w:r w:rsidRPr="00983FB8">
              <w:rPr>
                <w:rFonts w:ascii="Arial" w:eastAsia="ヒラギノ明朝 Pro W3" w:hAnsi="Arial" w:cs="Arial"/>
                <w:b/>
                <w:sz w:val="20"/>
                <w:szCs w:val="20"/>
                <w:lang w:eastAsia="en-US"/>
              </w:rPr>
              <w:tab/>
              <w:t>MADDE 14/A –</w:t>
            </w:r>
            <w:r w:rsidRPr="00983FB8">
              <w:rPr>
                <w:rFonts w:ascii="Arial" w:eastAsia="ヒラギノ明朝 Pro W3" w:hAnsi="Arial" w:cs="Arial"/>
                <w:sz w:val="20"/>
                <w:szCs w:val="20"/>
                <w:lang w:eastAsia="en-US"/>
              </w:rPr>
              <w:t xml:space="preserve"> (1) Teknik karşılıkları karşılayan varlıklar ile teminatlara ilişkin hususlar saklı kalmak kaydıyla, şirketlerin makro varlık yatırım politikaları aşağıda yer alan hususları da içerecek şekilde yıllık olarak hazırlanır, şirketlerin yönetim kurulu tarafından onaylanır ve şirket nezdinde muhafaza edilir;</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 xml:space="preserve">a) Şirketin risk </w:t>
            </w:r>
            <w:proofErr w:type="gramStart"/>
            <w:r w:rsidRPr="00983FB8">
              <w:rPr>
                <w:rFonts w:ascii="Arial" w:eastAsia="ヒラギノ明朝 Pro W3" w:hAnsi="Arial" w:cs="Arial"/>
                <w:sz w:val="20"/>
                <w:szCs w:val="20"/>
                <w:lang w:eastAsia="en-US"/>
              </w:rPr>
              <w:t>profili</w:t>
            </w:r>
            <w:proofErr w:type="gramEnd"/>
            <w:r w:rsidRPr="00983FB8">
              <w:rPr>
                <w:rFonts w:ascii="Arial" w:eastAsia="ヒラギノ明朝 Pro W3" w:hAnsi="Arial" w:cs="Arial"/>
                <w:sz w:val="20"/>
                <w:szCs w:val="20"/>
                <w:lang w:eastAsia="en-US"/>
              </w:rPr>
              <w:t>,</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b) Başlıca yatırım kategorilerinde uzun dönem varlık-yükümlülük dağılımına ilişkin stratejilerin belirlenmesi,</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c) Varlıkların yatırıma yönlendirilmesinde; bölge, piyasa, sektör, aracılar ve kur kapsamında limitlerin belirlenmesi usulleri,</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 xml:space="preserve">ç) Alımı sınırlanan ya da izin verilmeyen varlıkların belirlenmesi, </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d) Varlıkların ipotek/rehin edilmesi ya da borç verilmesine ilişkin kurallar,</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e) Türev ve benzeri ürünlerin kullanımına ilişkin kurallar ve limitler,</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 xml:space="preserve">f) Varlıklara ilişkin işlemlerin hesap </w:t>
            </w:r>
            <w:proofErr w:type="spellStart"/>
            <w:r w:rsidRPr="00983FB8">
              <w:rPr>
                <w:rFonts w:ascii="Arial" w:eastAsia="ヒラギノ明朝 Pro W3" w:hAnsi="Arial" w:cs="Arial"/>
                <w:sz w:val="20"/>
                <w:szCs w:val="20"/>
                <w:lang w:eastAsia="en-US"/>
              </w:rPr>
              <w:t>verilebilebilirliğine</w:t>
            </w:r>
            <w:proofErr w:type="spellEnd"/>
            <w:r w:rsidRPr="00983FB8">
              <w:rPr>
                <w:rFonts w:ascii="Arial" w:eastAsia="ヒラギノ明朝 Pro W3" w:hAnsi="Arial" w:cs="Arial"/>
                <w:sz w:val="20"/>
                <w:szCs w:val="20"/>
                <w:lang w:eastAsia="en-US"/>
              </w:rPr>
              <w:t xml:space="preserve"> ilişkin usuller.</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(2) Teknik karşılıkları karşılayan varlıklar ile teminatlara ilişkin hususlar saklı kalmak kaydıyla; şirketlerin gelecek yıl uygulayacakları yatırım politikaları, şirket yönetim kurulu tarafından oluşturulan makro politikalar çerçevesinde aşağıdaki hususları da içerecek şekilde şirket üst düzey yönetimi tarafından belirlenir ve yıl içerisinde meydana gelen gelişmeler çerçevesinde gözden geçirilir;</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a) Yatırımların dağılımı ve çeşitliliği,</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 xml:space="preserve">b) Gayrimenkuller ve alacaklar da </w:t>
            </w:r>
            <w:proofErr w:type="gramStart"/>
            <w:r w:rsidRPr="00983FB8">
              <w:rPr>
                <w:rFonts w:ascii="Arial" w:eastAsia="ヒラギノ明朝 Pro W3" w:hAnsi="Arial" w:cs="Arial"/>
                <w:sz w:val="20"/>
                <w:szCs w:val="20"/>
                <w:lang w:eastAsia="en-US"/>
              </w:rPr>
              <w:t>dahil</w:t>
            </w:r>
            <w:proofErr w:type="gramEnd"/>
            <w:r w:rsidRPr="00983FB8">
              <w:rPr>
                <w:rFonts w:ascii="Arial" w:eastAsia="ヒラギノ明朝 Pro W3" w:hAnsi="Arial" w:cs="Arial"/>
                <w:sz w:val="20"/>
                <w:szCs w:val="20"/>
                <w:lang w:eastAsia="en-US"/>
              </w:rPr>
              <w:t xml:space="preserve"> olmak üzere belirli finansal ürünlere ilişkin sınırlamalar,  </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c) Varlıkların ne şekilde muhafaza edileceği,</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ç) Varlık ve yükümlülük arasındaki dengenin nasıl sağlanacağı,</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d) Likidite düzeyi.</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(3) Dışarıdan hizmet alımı yapılıp yapılmadığına bakılmaksızın; şirket yönetim kurulu, yatırım politikası ve süreçlerinin gözetimi ile almış olduğu makro yatırım politikalarına uyulup uyulmadığını incelemekle görevlidir.</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(4) Şirketler tarafından yatırım araçları türleri itibariyle kötüye giden şartların etkisini azaltmak amacıyla alternatif bir yatırım planı hazırlanır.”</w:t>
            </w:r>
          </w:p>
          <w:p w:rsidR="003E5305" w:rsidRPr="00983FB8" w:rsidRDefault="003E5305" w:rsidP="003E5305">
            <w:pPr>
              <w:tabs>
                <w:tab w:val="left" w:pos="566"/>
              </w:tabs>
              <w:spacing w:after="0" w:line="240" w:lineRule="exact"/>
              <w:ind w:firstLine="566"/>
              <w:jc w:val="both"/>
              <w:rPr>
                <w:rFonts w:ascii="Arial" w:eastAsia="ヒラギノ明朝 Pro W3" w:hAnsi="Arial" w:cs="Arial"/>
                <w:b/>
                <w:sz w:val="20"/>
                <w:szCs w:val="20"/>
                <w:lang w:eastAsia="en-US"/>
              </w:rPr>
            </w:pPr>
            <w:r w:rsidRPr="00983FB8">
              <w:rPr>
                <w:rFonts w:ascii="Arial" w:eastAsia="ヒラギノ明朝 Pro W3" w:hAnsi="Arial" w:cs="Arial"/>
                <w:b/>
                <w:sz w:val="20"/>
                <w:szCs w:val="20"/>
                <w:lang w:eastAsia="en-US"/>
              </w:rPr>
              <w:t>“Türev ürünler</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b/>
                <w:sz w:val="20"/>
                <w:szCs w:val="20"/>
                <w:lang w:eastAsia="en-US"/>
              </w:rPr>
              <w:t>MADDE 14/B –</w:t>
            </w:r>
            <w:r w:rsidRPr="00983FB8">
              <w:rPr>
                <w:rFonts w:ascii="Arial" w:eastAsia="ヒラギノ明朝 Pro W3" w:hAnsi="Arial" w:cs="Arial"/>
                <w:sz w:val="20"/>
                <w:szCs w:val="20"/>
                <w:lang w:eastAsia="en-US"/>
              </w:rPr>
              <w:t xml:space="preserve"> (1) Türev ürün ve diğer finansal yatırım işlemlerinden kaynaklanan tüm riskler, risk bazında ve topluca şirketlerin risk yönetim sistemlerinin bir parçası olarak izlenirler. Bu şekilde tüm finansal yatırım işlemlerinden kaynaklanan risklerin değerlendirilmesi </w:t>
            </w:r>
            <w:proofErr w:type="gramStart"/>
            <w:r w:rsidRPr="00983FB8">
              <w:rPr>
                <w:rFonts w:ascii="Arial" w:eastAsia="ヒラギノ明朝 Pro W3" w:hAnsi="Arial" w:cs="Arial"/>
                <w:sz w:val="20"/>
                <w:szCs w:val="20"/>
                <w:lang w:eastAsia="en-US"/>
              </w:rPr>
              <w:t>konsolide</w:t>
            </w:r>
            <w:proofErr w:type="gramEnd"/>
            <w:r w:rsidRPr="00983FB8">
              <w:rPr>
                <w:rFonts w:ascii="Arial" w:eastAsia="ヒラギノ明朝 Pro W3" w:hAnsi="Arial" w:cs="Arial"/>
                <w:sz w:val="20"/>
                <w:szCs w:val="20"/>
                <w:lang w:eastAsia="en-US"/>
              </w:rPr>
              <w:t xml:space="preserve"> bir biçimde gerçekleştirilir.</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 xml:space="preserve">(2) Türev ürünler ve benzer araçlarla ilgili olarak kamuoyunun bilgilendirilmesini </w:t>
            </w:r>
            <w:proofErr w:type="spellStart"/>
            <w:r w:rsidRPr="00983FB8">
              <w:rPr>
                <w:rFonts w:ascii="Arial" w:eastAsia="ヒラギノ明朝 Pro W3" w:hAnsi="Arial" w:cs="Arial"/>
                <w:sz w:val="20"/>
                <w:szCs w:val="20"/>
                <w:lang w:eastAsia="en-US"/>
              </w:rPr>
              <w:t>teminen</w:t>
            </w:r>
            <w:proofErr w:type="spellEnd"/>
            <w:r w:rsidRPr="00983FB8">
              <w:rPr>
                <w:rFonts w:ascii="Arial" w:eastAsia="ヒラギノ明朝 Pro W3" w:hAnsi="Arial" w:cs="Arial"/>
                <w:sz w:val="20"/>
                <w:szCs w:val="20"/>
                <w:lang w:eastAsia="en-US"/>
              </w:rPr>
              <w:t xml:space="preserve">, türev araçlar ile ilgili hususlar finansal tabloların dipnotlarında açıklanır. </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 xml:space="preserve">(3) Şirket politikasının </w:t>
            </w:r>
            <w:proofErr w:type="gramStart"/>
            <w:r w:rsidRPr="00983FB8">
              <w:rPr>
                <w:rFonts w:ascii="Arial" w:eastAsia="ヒラギノ明朝 Pro W3" w:hAnsi="Arial" w:cs="Arial"/>
                <w:sz w:val="20"/>
                <w:szCs w:val="20"/>
                <w:lang w:eastAsia="en-US"/>
              </w:rPr>
              <w:t>tezgah</w:t>
            </w:r>
            <w:proofErr w:type="gramEnd"/>
            <w:r w:rsidRPr="00983FB8">
              <w:rPr>
                <w:rFonts w:ascii="Arial" w:eastAsia="ヒラギノ明朝 Pro W3" w:hAnsi="Arial" w:cs="Arial"/>
                <w:sz w:val="20"/>
                <w:szCs w:val="20"/>
                <w:lang w:eastAsia="en-US"/>
              </w:rPr>
              <w:t xml:space="preserve"> üstü türev ürünlere izin verdiği durumlarda, yönetim kurulu şirketin yapılan fiyatlamanın doğruluğunun teyidini sağlayacak kapasiteye sahip olmasını temin eder.</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 xml:space="preserve">(4) Türev ürün kullanan şirketler, türev ürünlerinin kullanımı ile ilgili olarak Yönetim Kurullarının </w:t>
            </w:r>
            <w:r w:rsidRPr="00983FB8">
              <w:rPr>
                <w:rFonts w:ascii="Arial" w:eastAsia="ヒラギノ明朝 Pro W3" w:hAnsi="Arial" w:cs="Arial"/>
                <w:sz w:val="20"/>
                <w:szCs w:val="20"/>
                <w:lang w:eastAsia="en-US"/>
              </w:rPr>
              <w:lastRenderedPageBreak/>
              <w:t>yıllık olarak inceledikleri ve onayladıkları uygun politikalar oluştururlar. Bu politikalar; şirketin faaliyetleri, genel stratejik yatırım politikası, varlık/yükümlülük yönetim stratejisi ve risk yapısıyla uyumlu olmalıdır. Söz konusu politikalar asgari olarak aşağıdaki unsurları içermelidir:</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 xml:space="preserve">a) Türev </w:t>
            </w:r>
            <w:proofErr w:type="gramStart"/>
            <w:r w:rsidRPr="00983FB8">
              <w:rPr>
                <w:rFonts w:ascii="Arial" w:eastAsia="ヒラギノ明朝 Pro W3" w:hAnsi="Arial" w:cs="Arial"/>
                <w:sz w:val="20"/>
                <w:szCs w:val="20"/>
                <w:lang w:eastAsia="en-US"/>
              </w:rPr>
              <w:t>enstrümanların</w:t>
            </w:r>
            <w:proofErr w:type="gramEnd"/>
            <w:r w:rsidRPr="00983FB8">
              <w:rPr>
                <w:rFonts w:ascii="Arial" w:eastAsia="ヒラギノ明朝 Pro W3" w:hAnsi="Arial" w:cs="Arial"/>
                <w:sz w:val="20"/>
                <w:szCs w:val="20"/>
                <w:lang w:eastAsia="en-US"/>
              </w:rPr>
              <w:t xml:space="preserve"> kullanım amaçları,</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b) Pazar, kredi, likidite, faaliyet, yasal vb. riskleri hesaba katmak suretiyle uygun şekilde yapılandırılmış risk limitlerinin tesisi,</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c) Türev ürünlerin kullanımı ile ilgili danışmanlık hizmeti ya da eğitim hizmeti alınmasının değerlendirilmesi,</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 xml:space="preserve">ç) Sorumluluk alanlarının ve türev araç işlemlerine ilişkin hesap verilebilirlik </w:t>
            </w:r>
            <w:proofErr w:type="gramStart"/>
            <w:r w:rsidRPr="00983FB8">
              <w:rPr>
                <w:rFonts w:ascii="Arial" w:eastAsia="ヒラギノ明朝 Pro W3" w:hAnsi="Arial" w:cs="Arial"/>
                <w:sz w:val="20"/>
                <w:szCs w:val="20"/>
                <w:lang w:eastAsia="en-US"/>
              </w:rPr>
              <w:t>çerçevesinin  belirlenmesi</w:t>
            </w:r>
            <w:proofErr w:type="gramEnd"/>
            <w:r w:rsidRPr="00983FB8">
              <w:rPr>
                <w:rFonts w:ascii="Arial" w:eastAsia="ヒラギノ明朝 Pro W3" w:hAnsi="Arial" w:cs="Arial"/>
                <w:sz w:val="20"/>
                <w:szCs w:val="20"/>
                <w:lang w:eastAsia="en-US"/>
              </w:rPr>
              <w:t>.</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 xml:space="preserve">(5) Türev işlemlerinin, şirketin kabul ettiği politika ve prosedürler ile yasal düzenlemelere uygunluğunun sağlanmasını </w:t>
            </w:r>
            <w:proofErr w:type="spellStart"/>
            <w:r w:rsidRPr="00983FB8">
              <w:rPr>
                <w:rFonts w:ascii="Arial" w:eastAsia="ヒラギノ明朝 Pro W3" w:hAnsi="Arial" w:cs="Arial"/>
                <w:sz w:val="20"/>
                <w:szCs w:val="20"/>
                <w:lang w:eastAsia="en-US"/>
              </w:rPr>
              <w:t>teminen</w:t>
            </w:r>
            <w:proofErr w:type="spellEnd"/>
            <w:r w:rsidRPr="00983FB8">
              <w:rPr>
                <w:rFonts w:ascii="Arial" w:eastAsia="ヒラギノ明朝 Pro W3" w:hAnsi="Arial" w:cs="Arial"/>
                <w:sz w:val="20"/>
                <w:szCs w:val="20"/>
                <w:lang w:eastAsia="en-US"/>
              </w:rPr>
              <w:t xml:space="preserve">, </w:t>
            </w:r>
            <w:proofErr w:type="gramStart"/>
            <w:r w:rsidRPr="00983FB8">
              <w:rPr>
                <w:rFonts w:ascii="Arial" w:eastAsia="ヒラギノ明朝 Pro W3" w:hAnsi="Arial" w:cs="Arial"/>
                <w:sz w:val="20"/>
                <w:szCs w:val="20"/>
                <w:lang w:eastAsia="en-US"/>
              </w:rPr>
              <w:t>gerekli  iç</w:t>
            </w:r>
            <w:proofErr w:type="gramEnd"/>
            <w:r w:rsidRPr="00983FB8">
              <w:rPr>
                <w:rFonts w:ascii="Arial" w:eastAsia="ヒラギノ明朝 Pro W3" w:hAnsi="Arial" w:cs="Arial"/>
                <w:sz w:val="20"/>
                <w:szCs w:val="20"/>
                <w:lang w:eastAsia="en-US"/>
              </w:rPr>
              <w:t xml:space="preserve"> kontrol süreçleri şirket içerisinde tesis edilir. Bu kapsamda, türev ürünlerini ölçmek, izlemek, belirlemek ve kontrol etmekle görevli kişiler ile işlemi </w:t>
            </w:r>
            <w:proofErr w:type="gramStart"/>
            <w:r w:rsidRPr="00983FB8">
              <w:rPr>
                <w:rFonts w:ascii="Arial" w:eastAsia="ヒラギノ明朝 Pro W3" w:hAnsi="Arial" w:cs="Arial"/>
                <w:sz w:val="20"/>
                <w:szCs w:val="20"/>
                <w:lang w:eastAsia="en-US"/>
              </w:rPr>
              <w:t>yapanların  görev</w:t>
            </w:r>
            <w:proofErr w:type="gramEnd"/>
            <w:r w:rsidRPr="00983FB8">
              <w:rPr>
                <w:rFonts w:ascii="Arial" w:eastAsia="ヒラギノ明朝 Pro W3" w:hAnsi="Arial" w:cs="Arial"/>
                <w:sz w:val="20"/>
                <w:szCs w:val="20"/>
                <w:lang w:eastAsia="en-US"/>
              </w:rPr>
              <w:t xml:space="preserve"> ayrılıkları da sağlanır. </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(6) Türev ürünler ile ilgili işlemler iç kontrol ve risk yönetim süreçlerinden ayrı olarak iç denetim birimi tarafından da ayrıca denetime konu olur.</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(7) Şirketler türev ürünlerin fiyatlandırılması amacıyla bu konuda uzman personelden yararlanırlar. Fiyatlandırmayı yapan personel ile satışı yapan personel ayrıştırılır.</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 xml:space="preserve">(8) Müsteşarlık, yatırım riskinin azaltılması ve etkin </w:t>
            </w:r>
            <w:proofErr w:type="gramStart"/>
            <w:r w:rsidRPr="00983FB8">
              <w:rPr>
                <w:rFonts w:ascii="Arial" w:eastAsia="ヒラギノ明朝 Pro W3" w:hAnsi="Arial" w:cs="Arial"/>
                <w:sz w:val="20"/>
                <w:szCs w:val="20"/>
                <w:lang w:eastAsia="en-US"/>
              </w:rPr>
              <w:t>portföy</w:t>
            </w:r>
            <w:proofErr w:type="gramEnd"/>
            <w:r w:rsidRPr="00983FB8">
              <w:rPr>
                <w:rFonts w:ascii="Arial" w:eastAsia="ヒラギノ明朝 Pro W3" w:hAnsi="Arial" w:cs="Arial"/>
                <w:sz w:val="20"/>
                <w:szCs w:val="20"/>
                <w:lang w:eastAsia="en-US"/>
              </w:rPr>
              <w:t xml:space="preserve"> yönetimi kapsamında şirket bazında türev ürünlerin kullanımına kısıtlama getirebilir. ”</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b/>
                <w:sz w:val="20"/>
                <w:szCs w:val="20"/>
                <w:lang w:eastAsia="en-US"/>
              </w:rPr>
              <w:t xml:space="preserve">MADDE 3 – </w:t>
            </w:r>
            <w:r w:rsidRPr="00983FB8">
              <w:rPr>
                <w:rFonts w:ascii="Arial" w:eastAsia="ヒラギノ明朝 Pro W3" w:hAnsi="Arial" w:cs="Arial"/>
                <w:sz w:val="20"/>
                <w:szCs w:val="20"/>
                <w:lang w:eastAsia="en-US"/>
              </w:rPr>
              <w:t>Aynı Yönetmeliğe 14/B maddesinden sonra gelmek üzere “Reasürans, Yazım ve Fiyatlama Politikası” başlıklı Beşinci Bölüm ilave edilmiş, aynı bölüme 15 inci maddeden sonra gelmek üzere aşağıdaki 15/</w:t>
            </w:r>
            <w:proofErr w:type="gramStart"/>
            <w:r w:rsidRPr="00983FB8">
              <w:rPr>
                <w:rFonts w:ascii="Arial" w:eastAsia="ヒラギノ明朝 Pro W3" w:hAnsi="Arial" w:cs="Arial"/>
                <w:sz w:val="20"/>
                <w:szCs w:val="20"/>
                <w:lang w:eastAsia="en-US"/>
              </w:rPr>
              <w:t>A  maddesi</w:t>
            </w:r>
            <w:proofErr w:type="gramEnd"/>
            <w:r w:rsidRPr="00983FB8">
              <w:rPr>
                <w:rFonts w:ascii="Arial" w:eastAsia="ヒラギノ明朝 Pro W3" w:hAnsi="Arial" w:cs="Arial"/>
                <w:sz w:val="20"/>
                <w:szCs w:val="20"/>
                <w:lang w:eastAsia="en-US"/>
              </w:rPr>
              <w:t xml:space="preserve"> eklenmiş ve mevcut beşinci bölüm altıncı bölüm olarak teselsül ettirilmiştir.</w:t>
            </w:r>
          </w:p>
          <w:p w:rsidR="003E5305" w:rsidRPr="00983FB8" w:rsidRDefault="003E5305" w:rsidP="003E5305">
            <w:pPr>
              <w:tabs>
                <w:tab w:val="left" w:pos="566"/>
              </w:tabs>
              <w:spacing w:after="0" w:line="240" w:lineRule="exact"/>
              <w:ind w:firstLine="566"/>
              <w:jc w:val="both"/>
              <w:rPr>
                <w:rFonts w:ascii="Arial" w:eastAsia="ヒラギノ明朝 Pro W3" w:hAnsi="Arial" w:cs="Arial"/>
                <w:b/>
                <w:sz w:val="20"/>
                <w:szCs w:val="20"/>
                <w:lang w:eastAsia="en-US"/>
              </w:rPr>
            </w:pPr>
            <w:r w:rsidRPr="00983FB8">
              <w:rPr>
                <w:rFonts w:ascii="Arial" w:eastAsia="ヒラギノ明朝 Pro W3" w:hAnsi="Arial" w:cs="Arial"/>
                <w:b/>
                <w:sz w:val="20"/>
                <w:szCs w:val="20"/>
                <w:lang w:eastAsia="en-US"/>
              </w:rPr>
              <w:t xml:space="preserve">“Yazım ve fiyatlama politikası </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b/>
                <w:sz w:val="20"/>
                <w:szCs w:val="20"/>
                <w:lang w:eastAsia="en-US"/>
              </w:rPr>
              <w:t>MADDE 15/A –</w:t>
            </w:r>
            <w:r w:rsidRPr="00983FB8">
              <w:rPr>
                <w:rFonts w:ascii="Arial" w:eastAsia="ヒラギノ明朝 Pro W3" w:hAnsi="Arial" w:cs="Arial"/>
                <w:sz w:val="20"/>
                <w:szCs w:val="20"/>
                <w:lang w:eastAsia="en-US"/>
              </w:rPr>
              <w:t xml:space="preserve"> (1) Şirketlerin yazım ve fiyatlama politikaları şirket yönetim kurulu tarafından onaylanır ve söz konusu politikalar düzenli aralıklarla gözden geçirilir. </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 xml:space="preserve">(2) Şirketlerin belirleyeceği prim miktarları </w:t>
            </w:r>
            <w:proofErr w:type="spellStart"/>
            <w:r w:rsidRPr="00983FB8">
              <w:rPr>
                <w:rFonts w:ascii="Arial" w:eastAsia="ヒラギノ明朝 Pro W3" w:hAnsi="Arial" w:cs="Arial"/>
                <w:sz w:val="20"/>
                <w:szCs w:val="20"/>
                <w:lang w:eastAsia="en-US"/>
              </w:rPr>
              <w:t>aktüeryal</w:t>
            </w:r>
            <w:proofErr w:type="spellEnd"/>
            <w:r w:rsidRPr="00983FB8">
              <w:rPr>
                <w:rFonts w:ascii="Arial" w:eastAsia="ヒラギノ明朝 Pro W3" w:hAnsi="Arial" w:cs="Arial"/>
                <w:sz w:val="20"/>
                <w:szCs w:val="20"/>
                <w:lang w:eastAsia="en-US"/>
              </w:rPr>
              <w:t xml:space="preserve"> hesaplamalara dayanmalıdır. Şirketlerin üstlenmiş oldukları risklere ilişkin olarak almış oldukları prim tutarlarının yeterli olması esastır. Şirketler; üretim giderleri, hasarlar, hasar yönetim giderleri ve yönetim giderlerinin kontrol ve takibi amacıyla uygun sistemleri kurmak zorundadırlar.”</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b/>
                <w:sz w:val="20"/>
                <w:szCs w:val="20"/>
                <w:lang w:eastAsia="en-US"/>
              </w:rPr>
              <w:t>MADDE 4 –</w:t>
            </w:r>
            <w:r w:rsidRPr="00983FB8">
              <w:rPr>
                <w:rFonts w:ascii="Arial" w:eastAsia="ヒラギノ明朝 Pro W3" w:hAnsi="Arial" w:cs="Arial"/>
                <w:sz w:val="20"/>
                <w:szCs w:val="20"/>
                <w:lang w:eastAsia="en-US"/>
              </w:rPr>
              <w:t xml:space="preserve"> Aynı Yönetmeliğin Yedinci Bölüm Başlığı “Bilgi Paylaşımı ve Diğer Hususlar” olarak değiştirilmiş, Geçici 1 inci Maddeden önce gelmek üzere, Yedinci Bölüme aşağıdaki 21/</w:t>
            </w:r>
            <w:proofErr w:type="gramStart"/>
            <w:r w:rsidRPr="00983FB8">
              <w:rPr>
                <w:rFonts w:ascii="Arial" w:eastAsia="ヒラギノ明朝 Pro W3" w:hAnsi="Arial" w:cs="Arial"/>
                <w:sz w:val="20"/>
                <w:szCs w:val="20"/>
                <w:lang w:eastAsia="en-US"/>
              </w:rPr>
              <w:t>A  maddesi</w:t>
            </w:r>
            <w:proofErr w:type="gramEnd"/>
            <w:r w:rsidRPr="00983FB8">
              <w:rPr>
                <w:rFonts w:ascii="Arial" w:eastAsia="ヒラギノ明朝 Pro W3" w:hAnsi="Arial" w:cs="Arial"/>
                <w:sz w:val="20"/>
                <w:szCs w:val="20"/>
                <w:lang w:eastAsia="en-US"/>
              </w:rPr>
              <w:t xml:space="preserve"> eklenmiştir. </w:t>
            </w:r>
          </w:p>
          <w:p w:rsidR="003E5305" w:rsidRPr="00983FB8" w:rsidRDefault="003E5305" w:rsidP="003E5305">
            <w:pPr>
              <w:tabs>
                <w:tab w:val="left" w:pos="566"/>
              </w:tabs>
              <w:spacing w:after="0" w:line="240" w:lineRule="exact"/>
              <w:ind w:firstLine="566"/>
              <w:jc w:val="both"/>
              <w:rPr>
                <w:rFonts w:ascii="Arial" w:eastAsia="ヒラギノ明朝 Pro W3" w:hAnsi="Arial" w:cs="Arial"/>
                <w:b/>
                <w:sz w:val="20"/>
                <w:szCs w:val="20"/>
                <w:lang w:eastAsia="en-US"/>
              </w:rPr>
            </w:pPr>
            <w:r w:rsidRPr="00983FB8">
              <w:rPr>
                <w:rFonts w:ascii="Arial" w:eastAsia="ヒラギノ明朝 Pro W3" w:hAnsi="Arial" w:cs="Arial"/>
                <w:b/>
                <w:sz w:val="20"/>
                <w:szCs w:val="20"/>
                <w:lang w:eastAsia="en-US"/>
              </w:rPr>
              <w:t>“Bilgi paylaşımı ve grup denetimine ilişkin esaslar</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b/>
                <w:sz w:val="20"/>
                <w:szCs w:val="20"/>
                <w:lang w:eastAsia="en-US"/>
              </w:rPr>
              <w:t>MADDE 21/A –</w:t>
            </w:r>
            <w:r w:rsidRPr="00983FB8">
              <w:rPr>
                <w:rFonts w:ascii="Arial" w:eastAsia="ヒラギノ明朝 Pro W3" w:hAnsi="Arial" w:cs="Arial"/>
                <w:sz w:val="20"/>
                <w:szCs w:val="20"/>
                <w:lang w:eastAsia="en-US"/>
              </w:rPr>
              <w:t xml:space="preserve"> (1) Bir şirketin herhangi bir finansal holdingin parçası olduğu durumlar için, Müsteşarlık ilgili finansal holding bünyesinde yer alan şirketlerin grup </w:t>
            </w:r>
            <w:proofErr w:type="gramStart"/>
            <w:r w:rsidRPr="00983FB8">
              <w:rPr>
                <w:rFonts w:ascii="Arial" w:eastAsia="ヒラギノ明朝 Pro W3" w:hAnsi="Arial" w:cs="Arial"/>
                <w:sz w:val="20"/>
                <w:szCs w:val="20"/>
                <w:lang w:eastAsia="en-US"/>
              </w:rPr>
              <w:t>bazlı</w:t>
            </w:r>
            <w:proofErr w:type="gramEnd"/>
            <w:r w:rsidRPr="00983FB8">
              <w:rPr>
                <w:rFonts w:ascii="Arial" w:eastAsia="ヒラギノ明朝 Pro W3" w:hAnsi="Arial" w:cs="Arial"/>
                <w:sz w:val="20"/>
                <w:szCs w:val="20"/>
                <w:lang w:eastAsia="en-US"/>
              </w:rPr>
              <w:t xml:space="preserve"> denetimine ve gözetimine ilişkin olarak, ilgili finansal şirketi denetleme ve düzenleme yetkisine sahip kurumlar ile ortak denetime ve karşılıklı bilgi paylaşımına yönelik protokollere taraf olabilir.</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(2) Bir sigorta grubunun ya da finansal holdingin parçası olan şirketlerin grup denetimi, münferit denetime ilave olarak grup seviyesinde ve asgari olarak aşağıdaki unsurları da içerir;</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 xml:space="preserve">a) Grup yapısı, mülkiyet ve yönetim yapısı da </w:t>
            </w:r>
            <w:proofErr w:type="gramStart"/>
            <w:r w:rsidRPr="00983FB8">
              <w:rPr>
                <w:rFonts w:ascii="Arial" w:eastAsia="ヒラギノ明朝 Pro W3" w:hAnsi="Arial" w:cs="Arial"/>
                <w:sz w:val="20"/>
                <w:szCs w:val="20"/>
                <w:lang w:eastAsia="en-US"/>
              </w:rPr>
              <w:t>dahil</w:t>
            </w:r>
            <w:proofErr w:type="gramEnd"/>
            <w:r w:rsidRPr="00983FB8">
              <w:rPr>
                <w:rFonts w:ascii="Arial" w:eastAsia="ヒラギノ明朝 Pro W3" w:hAnsi="Arial" w:cs="Arial"/>
                <w:sz w:val="20"/>
                <w:szCs w:val="20"/>
                <w:lang w:eastAsia="en-US"/>
              </w:rPr>
              <w:t xml:space="preserve"> olmak üzere tüm şirketler arasındaki doğrudan ya da dolaylı bağlantıları,</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b) Sermaye/yükümlülük karşılama yeterliliğini,</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c) Reasürans politikaları ile riske karşı tutumunu,</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 xml:space="preserve">ç) Grup içi garantiler/teminatlar ve olası yasal yükümlülükler de </w:t>
            </w:r>
            <w:proofErr w:type="gramStart"/>
            <w:r w:rsidRPr="00983FB8">
              <w:rPr>
                <w:rFonts w:ascii="Arial" w:eastAsia="ヒラギノ明朝 Pro W3" w:hAnsi="Arial" w:cs="Arial"/>
                <w:sz w:val="20"/>
                <w:szCs w:val="20"/>
                <w:lang w:eastAsia="en-US"/>
              </w:rPr>
              <w:t>dahil</w:t>
            </w:r>
            <w:proofErr w:type="gramEnd"/>
            <w:r w:rsidRPr="00983FB8">
              <w:rPr>
                <w:rFonts w:ascii="Arial" w:eastAsia="ヒラギノ明朝 Pro W3" w:hAnsi="Arial" w:cs="Arial"/>
                <w:sz w:val="20"/>
                <w:szCs w:val="20"/>
                <w:lang w:eastAsia="en-US"/>
              </w:rPr>
              <w:t xml:space="preserve"> olmak üzere, grup içi işlemler ve bunlara ilişkin riskleri, </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 xml:space="preserve">d) Raporlama zinciri ve üst yönetimin gerekli koşulları taşıyıp taşımadıkları da </w:t>
            </w:r>
            <w:proofErr w:type="gramStart"/>
            <w:r w:rsidRPr="00983FB8">
              <w:rPr>
                <w:rFonts w:ascii="Arial" w:eastAsia="ヒラギノ明朝 Pro W3" w:hAnsi="Arial" w:cs="Arial"/>
                <w:sz w:val="20"/>
                <w:szCs w:val="20"/>
                <w:lang w:eastAsia="en-US"/>
              </w:rPr>
              <w:t>dahil</w:t>
            </w:r>
            <w:proofErr w:type="gramEnd"/>
            <w:r w:rsidRPr="00983FB8">
              <w:rPr>
                <w:rFonts w:ascii="Arial" w:eastAsia="ヒラギノ明朝 Pro W3" w:hAnsi="Arial" w:cs="Arial"/>
                <w:sz w:val="20"/>
                <w:szCs w:val="20"/>
                <w:lang w:eastAsia="en-US"/>
              </w:rPr>
              <w:t xml:space="preserve"> olmak üzere, iç kontrol sistemleri ve risk yönetimi süreçlerini.</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(3) Sigorta grupları ve finansal holding şirketlerinin denetim ve gözetimleri kapsamında, Müsteşarlık tarafından doğrudan veya ilgili finansal şirketi denetleme ve düzenleme yetkisine sahip kurumlar vasıtasıyla dolaylı olarak talep edebileceği bilgileri sağlayabilecek raporlama sistemlerine sahip olmaları şarttır.</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 xml:space="preserve">(4) Sigorta grupları ve finansal holding şirketleri, denetimin etkin bir biçimde gerçekleştirilebilmesini </w:t>
            </w:r>
            <w:proofErr w:type="spellStart"/>
            <w:r w:rsidRPr="00983FB8">
              <w:rPr>
                <w:rFonts w:ascii="Arial" w:eastAsia="ヒラギノ明朝 Pro W3" w:hAnsi="Arial" w:cs="Arial"/>
                <w:sz w:val="20"/>
                <w:szCs w:val="20"/>
                <w:lang w:eastAsia="en-US"/>
              </w:rPr>
              <w:t>teminen</w:t>
            </w:r>
            <w:proofErr w:type="spellEnd"/>
            <w:r w:rsidRPr="00983FB8">
              <w:rPr>
                <w:rFonts w:ascii="Arial" w:eastAsia="ヒラギノ明朝 Pro W3" w:hAnsi="Arial" w:cs="Arial"/>
                <w:sz w:val="20"/>
                <w:szCs w:val="20"/>
                <w:lang w:eastAsia="en-US"/>
              </w:rPr>
              <w:t xml:space="preserve"> gerekli tedbirleri alırlar. Denetim ve gözetimin etkin bir biçimde yapılmasını engelleyici bir grup yapısının bulunması ve bu yapının Müsteşarlığın talebine rağmen düzeltilmemesi halinde şirketin yeni sigorta sözleşmesi yapma yetkisi kaldırılabilir veya bu yetki hiç verilmeyebilir.</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lastRenderedPageBreak/>
              <w:t>(5) Müsteşarlık yabancı ülkelerin denetime yetkili mercileri ya da uluslararası birlikler ile yapacağı anlaşmalar çerçevesinde, sigortacılıkla ilgili her türlü bilgi alışverişinde bulunabilir. Bu kapsamda, yabancı ülke kanunlarına göre denetime yetkili mercilerin, kendi ülkelerindeki sigortacılık sektöründe faaliyet gösteren şirketlerine ve Türkiye’de faaliyet gösteren şirketlere ilişkin yapılacak iş ve işlemlerde aşağıda yazılı usul ve esaslara uyulur;</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a) Müsteşarlık ile yabancı ülkelerin denetime yetkili mercileri ya da uluslararası birlikler, karşılıklı olarak birbirlerine vermiş oldukları bilgilerin, gizli olarak muamele edilmesine ve sadece düzenleme ile denetim amaçları için kullanılmasına ilişkin tedbirleri alır,</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b) Müsteşarlık ile yabancı ülkelerin denetime yetkili mercileri ya da uluslararası birlikler, diğer taraftan aldığı bilgiyi delil yaparak ilgili şirket hakkında bir müdahalede bulunacaksa, bilginin temin edildiği diğer mercilerden görüş alır,</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c) Müsteşarlık ile yabancı ülkelerin denetime yetkili mercileri ya da uluslararası birlikler,  şirketlerin etkin denetiminde işbirliği yapmama şeklindeki olumsuz davranışlardan kaçınırlar,</w:t>
            </w:r>
          </w:p>
          <w:p w:rsidR="003E5305" w:rsidRPr="00983FB8" w:rsidRDefault="003E5305" w:rsidP="003E5305">
            <w:pPr>
              <w:tabs>
                <w:tab w:val="left" w:pos="566"/>
              </w:tabs>
              <w:spacing w:after="0" w:line="240" w:lineRule="exact"/>
              <w:ind w:firstLine="566"/>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 xml:space="preserve">ç) Müsteşarlık ile yabancı ülkelerin denetime yetkili mercileri ya da uluslararası birlikler, kendi düzenlemeleri çerçevesinde, </w:t>
            </w:r>
            <w:proofErr w:type="gramStart"/>
            <w:r w:rsidRPr="00983FB8">
              <w:rPr>
                <w:rFonts w:ascii="Arial" w:eastAsia="ヒラギノ明朝 Pro W3" w:hAnsi="Arial" w:cs="Arial"/>
                <w:sz w:val="20"/>
                <w:szCs w:val="20"/>
                <w:lang w:eastAsia="en-US"/>
              </w:rPr>
              <w:t>şirketlerin  faaliyetlerini</w:t>
            </w:r>
            <w:proofErr w:type="gramEnd"/>
            <w:r w:rsidRPr="00983FB8">
              <w:rPr>
                <w:rFonts w:ascii="Arial" w:eastAsia="ヒラギノ明朝 Pro W3" w:hAnsi="Arial" w:cs="Arial"/>
                <w:sz w:val="20"/>
                <w:szCs w:val="20"/>
                <w:lang w:eastAsia="en-US"/>
              </w:rPr>
              <w:t xml:space="preserve">  ciddi bir şekilde etkileyecek değişiklikler yapacağı durumlarda mümkünse  karşı tarafı bilgilendirir.”</w:t>
            </w:r>
          </w:p>
          <w:p w:rsidR="003E5305" w:rsidRPr="00983FB8" w:rsidRDefault="003E5305" w:rsidP="003E5305">
            <w:pPr>
              <w:tabs>
                <w:tab w:val="left" w:pos="566"/>
              </w:tabs>
              <w:spacing w:after="0" w:line="240" w:lineRule="exact"/>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ab/>
            </w:r>
            <w:r w:rsidRPr="00983FB8">
              <w:rPr>
                <w:rFonts w:ascii="Arial" w:eastAsia="ヒラギノ明朝 Pro W3" w:hAnsi="Arial" w:cs="Arial"/>
                <w:b/>
                <w:sz w:val="20"/>
                <w:szCs w:val="20"/>
                <w:lang w:eastAsia="en-US"/>
              </w:rPr>
              <w:t>MADDE 5 –</w:t>
            </w:r>
            <w:r w:rsidRPr="00983FB8">
              <w:rPr>
                <w:rFonts w:ascii="Arial" w:eastAsia="ヒラギノ明朝 Pro W3" w:hAnsi="Arial" w:cs="Arial"/>
                <w:sz w:val="20"/>
                <w:szCs w:val="20"/>
                <w:lang w:eastAsia="en-US"/>
              </w:rPr>
              <w:t xml:space="preserve"> Bu Yönetmelik yayımı tarihinde yürürlüğe girer.</w:t>
            </w:r>
          </w:p>
          <w:p w:rsidR="003E5305" w:rsidRPr="00983FB8" w:rsidRDefault="003E5305" w:rsidP="003E5305">
            <w:pPr>
              <w:tabs>
                <w:tab w:val="left" w:pos="566"/>
              </w:tabs>
              <w:spacing w:after="0" w:line="240" w:lineRule="exact"/>
              <w:jc w:val="both"/>
              <w:rPr>
                <w:rFonts w:ascii="Arial" w:eastAsia="ヒラギノ明朝 Pro W3" w:hAnsi="Arial" w:cs="Arial"/>
                <w:sz w:val="20"/>
                <w:szCs w:val="20"/>
                <w:lang w:eastAsia="en-US"/>
              </w:rPr>
            </w:pPr>
            <w:r w:rsidRPr="00983FB8">
              <w:rPr>
                <w:rFonts w:ascii="Arial" w:eastAsia="ヒラギノ明朝 Pro W3" w:hAnsi="Arial" w:cs="Arial"/>
                <w:sz w:val="20"/>
                <w:szCs w:val="20"/>
                <w:lang w:eastAsia="en-US"/>
              </w:rPr>
              <w:tab/>
            </w:r>
            <w:r w:rsidRPr="00983FB8">
              <w:rPr>
                <w:rFonts w:ascii="Arial" w:eastAsia="ヒラギノ明朝 Pro W3" w:hAnsi="Arial" w:cs="Arial"/>
                <w:b/>
                <w:sz w:val="20"/>
                <w:szCs w:val="20"/>
                <w:lang w:eastAsia="en-US"/>
              </w:rPr>
              <w:t>MADDE 6 –</w:t>
            </w:r>
            <w:r w:rsidRPr="00983FB8">
              <w:rPr>
                <w:rFonts w:ascii="Arial" w:eastAsia="ヒラギノ明朝 Pro W3" w:hAnsi="Arial" w:cs="Arial"/>
                <w:sz w:val="20"/>
                <w:szCs w:val="20"/>
                <w:lang w:eastAsia="en-US"/>
              </w:rPr>
              <w:t xml:space="preserve"> Bu Yönetmelik hükümlerini Hazine Müsteşarlığının bağlı bulunduğu Bakan yürütür.</w:t>
            </w:r>
          </w:p>
          <w:p w:rsidR="003E5305" w:rsidRPr="00983FB8" w:rsidRDefault="003E5305" w:rsidP="003E5305">
            <w:pPr>
              <w:tabs>
                <w:tab w:val="left" w:pos="566"/>
              </w:tabs>
              <w:spacing w:after="0" w:line="240" w:lineRule="exact"/>
              <w:jc w:val="both"/>
              <w:rPr>
                <w:rFonts w:ascii="Arial" w:eastAsia="ヒラギノ明朝 Pro W3" w:hAnsi="Arial" w:cs="Arial"/>
                <w:sz w:val="20"/>
                <w:szCs w:val="20"/>
                <w:lang w:eastAsia="en-US"/>
              </w:rPr>
            </w:pP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4"/>
              <w:gridCol w:w="4759"/>
            </w:tblGrid>
            <w:tr w:rsidR="003E5305" w:rsidRPr="00983FB8">
              <w:trPr>
                <w:trHeight w:val="285"/>
                <w:jc w:val="center"/>
              </w:trPr>
              <w:tc>
                <w:tcPr>
                  <w:tcW w:w="9133" w:type="dxa"/>
                  <w:gridSpan w:val="2"/>
                  <w:tcBorders>
                    <w:top w:val="single" w:sz="4" w:space="0" w:color="auto"/>
                    <w:left w:val="single" w:sz="4" w:space="0" w:color="auto"/>
                    <w:bottom w:val="nil"/>
                    <w:right w:val="single" w:sz="4" w:space="0" w:color="auto"/>
                  </w:tcBorders>
                  <w:hideMark/>
                </w:tcPr>
                <w:p w:rsidR="003E5305" w:rsidRPr="00983FB8" w:rsidRDefault="003E5305" w:rsidP="003E5305">
                  <w:pPr>
                    <w:spacing w:after="0" w:line="240" w:lineRule="auto"/>
                    <w:jc w:val="center"/>
                    <w:rPr>
                      <w:rFonts w:ascii="Arial" w:eastAsia="Times New Roman" w:hAnsi="Arial" w:cs="Arial"/>
                      <w:b/>
                      <w:sz w:val="20"/>
                      <w:szCs w:val="20"/>
                      <w:lang w:val="en-GB"/>
                    </w:rPr>
                  </w:pPr>
                  <w:proofErr w:type="spellStart"/>
                  <w:r w:rsidRPr="00983FB8">
                    <w:rPr>
                      <w:rFonts w:ascii="Arial" w:eastAsia="Times New Roman" w:hAnsi="Arial" w:cs="Arial"/>
                      <w:b/>
                      <w:sz w:val="20"/>
                      <w:szCs w:val="20"/>
                      <w:lang w:val="en-GB"/>
                    </w:rPr>
                    <w:t>Yönetmeliğin</w:t>
                  </w:r>
                  <w:proofErr w:type="spellEnd"/>
                  <w:r w:rsidRPr="00983FB8">
                    <w:rPr>
                      <w:rFonts w:ascii="Arial" w:eastAsia="Times New Roman" w:hAnsi="Arial" w:cs="Arial"/>
                      <w:b/>
                      <w:sz w:val="20"/>
                      <w:szCs w:val="20"/>
                      <w:lang w:val="en-GB"/>
                    </w:rPr>
                    <w:t xml:space="preserve"> </w:t>
                  </w:r>
                  <w:proofErr w:type="spellStart"/>
                  <w:r w:rsidRPr="00983FB8">
                    <w:rPr>
                      <w:rFonts w:ascii="Arial" w:eastAsia="Times New Roman" w:hAnsi="Arial" w:cs="Arial"/>
                      <w:b/>
                      <w:sz w:val="20"/>
                      <w:szCs w:val="20"/>
                      <w:lang w:val="en-GB"/>
                    </w:rPr>
                    <w:t>Yayımlandığı</w:t>
                  </w:r>
                  <w:proofErr w:type="spellEnd"/>
                  <w:r w:rsidRPr="00983FB8">
                    <w:rPr>
                      <w:rFonts w:ascii="Arial" w:eastAsia="Times New Roman" w:hAnsi="Arial" w:cs="Arial"/>
                      <w:b/>
                      <w:sz w:val="20"/>
                      <w:szCs w:val="20"/>
                      <w:lang w:val="en-GB"/>
                    </w:rPr>
                    <w:t xml:space="preserve"> </w:t>
                  </w:r>
                  <w:proofErr w:type="spellStart"/>
                  <w:r w:rsidRPr="00983FB8">
                    <w:rPr>
                      <w:rFonts w:ascii="Arial" w:eastAsia="Times New Roman" w:hAnsi="Arial" w:cs="Arial"/>
                      <w:b/>
                      <w:sz w:val="20"/>
                      <w:szCs w:val="20"/>
                      <w:lang w:val="en-GB"/>
                    </w:rPr>
                    <w:t>Resmî</w:t>
                  </w:r>
                  <w:proofErr w:type="spellEnd"/>
                  <w:r w:rsidRPr="00983FB8">
                    <w:rPr>
                      <w:rFonts w:ascii="Arial" w:eastAsia="Times New Roman" w:hAnsi="Arial" w:cs="Arial"/>
                      <w:b/>
                      <w:sz w:val="20"/>
                      <w:szCs w:val="20"/>
                      <w:lang w:val="en-GB"/>
                    </w:rPr>
                    <w:t xml:space="preserve"> </w:t>
                  </w:r>
                  <w:proofErr w:type="spellStart"/>
                  <w:r w:rsidRPr="00983FB8">
                    <w:rPr>
                      <w:rFonts w:ascii="Arial" w:eastAsia="Times New Roman" w:hAnsi="Arial" w:cs="Arial"/>
                      <w:b/>
                      <w:sz w:val="20"/>
                      <w:szCs w:val="20"/>
                      <w:lang w:val="en-GB"/>
                    </w:rPr>
                    <w:t>Gazete’nin</w:t>
                  </w:r>
                  <w:proofErr w:type="spellEnd"/>
                </w:p>
              </w:tc>
            </w:tr>
            <w:tr w:rsidR="003E5305" w:rsidRPr="00983FB8">
              <w:trPr>
                <w:trHeight w:val="228"/>
                <w:jc w:val="center"/>
              </w:trPr>
              <w:tc>
                <w:tcPr>
                  <w:tcW w:w="4374" w:type="dxa"/>
                  <w:tcBorders>
                    <w:top w:val="nil"/>
                    <w:left w:val="single" w:sz="4" w:space="0" w:color="auto"/>
                    <w:bottom w:val="single" w:sz="4" w:space="0" w:color="auto"/>
                    <w:right w:val="nil"/>
                  </w:tcBorders>
                  <w:hideMark/>
                </w:tcPr>
                <w:p w:rsidR="003E5305" w:rsidRPr="00983FB8" w:rsidRDefault="003E5305" w:rsidP="003E5305">
                  <w:pPr>
                    <w:spacing w:after="0" w:line="240" w:lineRule="auto"/>
                    <w:jc w:val="center"/>
                    <w:rPr>
                      <w:rFonts w:ascii="Arial" w:eastAsia="Times New Roman" w:hAnsi="Arial" w:cs="Arial"/>
                      <w:b/>
                      <w:sz w:val="20"/>
                      <w:szCs w:val="20"/>
                      <w:lang w:val="en-GB"/>
                    </w:rPr>
                  </w:pPr>
                  <w:proofErr w:type="spellStart"/>
                  <w:r w:rsidRPr="00983FB8">
                    <w:rPr>
                      <w:rFonts w:ascii="Arial" w:eastAsia="Times New Roman" w:hAnsi="Arial" w:cs="Arial"/>
                      <w:b/>
                      <w:sz w:val="20"/>
                      <w:szCs w:val="20"/>
                      <w:lang w:val="en-GB"/>
                    </w:rPr>
                    <w:t>Tarihi</w:t>
                  </w:r>
                  <w:proofErr w:type="spellEnd"/>
                </w:p>
              </w:tc>
              <w:tc>
                <w:tcPr>
                  <w:tcW w:w="4759" w:type="dxa"/>
                  <w:tcBorders>
                    <w:top w:val="nil"/>
                    <w:left w:val="nil"/>
                    <w:bottom w:val="single" w:sz="4" w:space="0" w:color="auto"/>
                    <w:right w:val="single" w:sz="4" w:space="0" w:color="auto"/>
                  </w:tcBorders>
                  <w:hideMark/>
                </w:tcPr>
                <w:p w:rsidR="003E5305" w:rsidRPr="00983FB8" w:rsidRDefault="003E5305" w:rsidP="003E5305">
                  <w:pPr>
                    <w:spacing w:after="0" w:line="240" w:lineRule="auto"/>
                    <w:jc w:val="center"/>
                    <w:rPr>
                      <w:rFonts w:ascii="Arial" w:eastAsia="Times New Roman" w:hAnsi="Arial" w:cs="Arial"/>
                      <w:b/>
                      <w:sz w:val="20"/>
                      <w:szCs w:val="20"/>
                      <w:lang w:val="en-GB"/>
                    </w:rPr>
                  </w:pPr>
                  <w:proofErr w:type="spellStart"/>
                  <w:r w:rsidRPr="00983FB8">
                    <w:rPr>
                      <w:rFonts w:ascii="Arial" w:eastAsia="Times New Roman" w:hAnsi="Arial" w:cs="Arial"/>
                      <w:b/>
                      <w:sz w:val="20"/>
                      <w:szCs w:val="20"/>
                      <w:lang w:val="en-GB"/>
                    </w:rPr>
                    <w:t>Sayısı</w:t>
                  </w:r>
                  <w:proofErr w:type="spellEnd"/>
                </w:p>
              </w:tc>
            </w:tr>
            <w:tr w:rsidR="003E5305" w:rsidRPr="00983FB8">
              <w:trPr>
                <w:trHeight w:val="228"/>
                <w:jc w:val="center"/>
              </w:trPr>
              <w:tc>
                <w:tcPr>
                  <w:tcW w:w="4374" w:type="dxa"/>
                  <w:tcBorders>
                    <w:top w:val="single" w:sz="4" w:space="0" w:color="auto"/>
                    <w:left w:val="single" w:sz="4" w:space="0" w:color="auto"/>
                    <w:bottom w:val="single" w:sz="4" w:space="0" w:color="auto"/>
                    <w:right w:val="single" w:sz="4" w:space="0" w:color="auto"/>
                  </w:tcBorders>
                  <w:hideMark/>
                </w:tcPr>
                <w:p w:rsidR="003E5305" w:rsidRPr="00983FB8" w:rsidRDefault="003E5305" w:rsidP="003E5305">
                  <w:pPr>
                    <w:spacing w:after="0" w:line="240" w:lineRule="auto"/>
                    <w:jc w:val="center"/>
                    <w:rPr>
                      <w:rFonts w:ascii="Arial" w:eastAsia="Times New Roman" w:hAnsi="Arial" w:cs="Arial"/>
                      <w:sz w:val="20"/>
                      <w:szCs w:val="20"/>
                      <w:lang w:val="en-GB"/>
                    </w:rPr>
                  </w:pPr>
                  <w:r w:rsidRPr="00983FB8">
                    <w:rPr>
                      <w:rFonts w:ascii="Arial" w:eastAsia="Times New Roman" w:hAnsi="Arial" w:cs="Arial"/>
                      <w:sz w:val="20"/>
                      <w:szCs w:val="20"/>
                      <w:lang w:val="en-GB"/>
                    </w:rPr>
                    <w:t>7/8/2007</w:t>
                  </w:r>
                </w:p>
              </w:tc>
              <w:tc>
                <w:tcPr>
                  <w:tcW w:w="4759" w:type="dxa"/>
                  <w:tcBorders>
                    <w:top w:val="single" w:sz="4" w:space="0" w:color="auto"/>
                    <w:left w:val="single" w:sz="4" w:space="0" w:color="auto"/>
                    <w:bottom w:val="single" w:sz="4" w:space="0" w:color="auto"/>
                    <w:right w:val="single" w:sz="4" w:space="0" w:color="auto"/>
                  </w:tcBorders>
                  <w:hideMark/>
                </w:tcPr>
                <w:p w:rsidR="003E5305" w:rsidRPr="00983FB8" w:rsidRDefault="003E5305" w:rsidP="003E5305">
                  <w:pPr>
                    <w:spacing w:after="0" w:line="240" w:lineRule="auto"/>
                    <w:jc w:val="center"/>
                    <w:rPr>
                      <w:rFonts w:ascii="Arial" w:eastAsia="Times New Roman" w:hAnsi="Arial" w:cs="Arial"/>
                      <w:sz w:val="20"/>
                      <w:szCs w:val="20"/>
                      <w:lang w:val="en-GB"/>
                    </w:rPr>
                  </w:pPr>
                  <w:r w:rsidRPr="00983FB8">
                    <w:rPr>
                      <w:rFonts w:ascii="Arial" w:eastAsia="Times New Roman" w:hAnsi="Arial" w:cs="Arial"/>
                      <w:sz w:val="20"/>
                      <w:szCs w:val="20"/>
                      <w:lang w:val="en-GB"/>
                    </w:rPr>
                    <w:t>26606</w:t>
                  </w:r>
                </w:p>
              </w:tc>
            </w:tr>
          </w:tbl>
          <w:p w:rsidR="003E5305" w:rsidRPr="00983FB8" w:rsidRDefault="003E5305" w:rsidP="003E5305">
            <w:pPr>
              <w:tabs>
                <w:tab w:val="left" w:pos="566"/>
              </w:tabs>
              <w:spacing w:after="0" w:line="240" w:lineRule="exact"/>
              <w:jc w:val="both"/>
              <w:rPr>
                <w:rFonts w:ascii="Arial" w:eastAsia="ヒラギノ明朝 Pro W3" w:hAnsi="Arial" w:cs="Arial"/>
                <w:sz w:val="20"/>
                <w:szCs w:val="20"/>
                <w:lang w:eastAsia="en-US"/>
              </w:rPr>
            </w:pPr>
          </w:p>
          <w:p w:rsidR="003E5305" w:rsidRPr="00983FB8" w:rsidRDefault="003E5305" w:rsidP="003E5305">
            <w:pPr>
              <w:spacing w:before="100" w:beforeAutospacing="1" w:after="100" w:afterAutospacing="1" w:line="240" w:lineRule="auto"/>
              <w:jc w:val="center"/>
              <w:rPr>
                <w:rFonts w:ascii="Arial" w:eastAsia="Times New Roman" w:hAnsi="Arial" w:cs="Arial"/>
                <w:b/>
                <w:color w:val="000080"/>
                <w:sz w:val="20"/>
                <w:szCs w:val="20"/>
              </w:rPr>
            </w:pPr>
          </w:p>
        </w:tc>
      </w:tr>
    </w:tbl>
    <w:p w:rsidR="00B80CB7" w:rsidRPr="00983FB8" w:rsidRDefault="00B80CB7">
      <w:pPr>
        <w:rPr>
          <w:rFonts w:ascii="Arial" w:hAnsi="Arial" w:cs="Arial"/>
          <w:sz w:val="20"/>
          <w:szCs w:val="20"/>
        </w:rPr>
      </w:pPr>
    </w:p>
    <w:sectPr w:rsidR="00B80CB7" w:rsidRPr="00983FB8" w:rsidSect="009215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ヒラギノ明朝 Pro W3">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E5305"/>
    <w:rsid w:val="003E5305"/>
    <w:rsid w:val="004F700D"/>
    <w:rsid w:val="0092156E"/>
    <w:rsid w:val="00983FB8"/>
    <w:rsid w:val="00B80C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E53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ık"/>
    <w:rsid w:val="003E5305"/>
    <w:pPr>
      <w:tabs>
        <w:tab w:val="left" w:pos="566"/>
      </w:tabs>
      <w:spacing w:after="0" w:line="240" w:lineRule="auto"/>
    </w:pPr>
    <w:rPr>
      <w:rFonts w:ascii="Times New Roman" w:eastAsia="ヒラギノ明朝 Pro W3" w:hAnsi="Times" w:cs="Times New Roman"/>
      <w:szCs w:val="20"/>
      <w:u w:val="single"/>
      <w:lang w:eastAsia="en-US"/>
    </w:rPr>
  </w:style>
  <w:style w:type="paragraph" w:customStyle="1" w:styleId="2-OrtaBaslk">
    <w:name w:val="2-Orta Baslık"/>
    <w:rsid w:val="003E5305"/>
    <w:pPr>
      <w:spacing w:after="0" w:line="240" w:lineRule="auto"/>
      <w:jc w:val="center"/>
    </w:pPr>
    <w:rPr>
      <w:rFonts w:ascii="Times New Roman" w:eastAsia="ヒラギノ明朝 Pro W3" w:hAnsi="Times" w:cs="Times New Roman"/>
      <w:b/>
      <w:sz w:val="19"/>
      <w:szCs w:val="20"/>
      <w:lang w:eastAsia="en-US"/>
    </w:rPr>
  </w:style>
  <w:style w:type="paragraph" w:customStyle="1" w:styleId="3-NormalYaz">
    <w:name w:val="3-Normal Yazı"/>
    <w:rsid w:val="003E5305"/>
    <w:pPr>
      <w:tabs>
        <w:tab w:val="left" w:pos="566"/>
      </w:tabs>
      <w:spacing w:after="0" w:line="240" w:lineRule="auto"/>
      <w:jc w:val="both"/>
    </w:pPr>
    <w:rPr>
      <w:rFonts w:ascii="Times New Roman" w:eastAsia="ヒラギノ明朝 Pro W3" w:hAnsi="Times" w:cs="Times New Roman"/>
      <w:sz w:val="19"/>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1458</Words>
  <Characters>8313</Characters>
  <Application>Microsoft Office Word</Application>
  <DocSecurity>0</DocSecurity>
  <Lines>69</Lines>
  <Paragraphs>19</Paragraphs>
  <ScaleCrop>false</ScaleCrop>
  <Company/>
  <LinksUpToDate>false</LinksUpToDate>
  <CharactersWithSpaces>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EGM 6642</dc:creator>
  <cp:keywords/>
  <dc:description/>
  <cp:lastModifiedBy> EGM 6642</cp:lastModifiedBy>
  <cp:revision>6</cp:revision>
  <dcterms:created xsi:type="dcterms:W3CDTF">2011-03-17T07:25:00Z</dcterms:created>
  <dcterms:modified xsi:type="dcterms:W3CDTF">2011-03-17T07:53:00Z</dcterms:modified>
</cp:coreProperties>
</file>