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62" w:rsidRPr="003F39C9" w:rsidRDefault="00917F62" w:rsidP="00917F62">
      <w:pPr>
        <w:tabs>
          <w:tab w:val="left" w:pos="3039"/>
          <w:tab w:val="left" w:pos="5970"/>
        </w:tabs>
        <w:spacing w:before="100" w:beforeAutospacing="1" w:after="100" w:afterAutospacing="1" w:line="240" w:lineRule="auto"/>
        <w:ind w:left="108"/>
        <w:rPr>
          <w:rFonts w:eastAsia="Times New Roman" w:cs="Arial"/>
          <w:b/>
          <w:szCs w:val="20"/>
          <w:lang w:eastAsia="tr-TR"/>
        </w:rPr>
      </w:pPr>
      <w:r w:rsidRPr="003F39C9">
        <w:rPr>
          <w:rFonts w:eastAsia="Times New Roman" w:cs="Arial"/>
          <w:szCs w:val="20"/>
          <w:lang w:eastAsia="tr-TR"/>
        </w:rPr>
        <w:t>29 Aralık 2012  CUMARTESİ</w:t>
      </w:r>
      <w:r w:rsidRPr="003F39C9">
        <w:rPr>
          <w:rFonts w:eastAsia="Times New Roman" w:cs="Arial"/>
          <w:b/>
          <w:szCs w:val="20"/>
          <w:lang w:eastAsia="tr-TR"/>
        </w:rPr>
        <w:tab/>
      </w:r>
      <w:r w:rsidR="003F39C9" w:rsidRPr="003F39C9">
        <w:rPr>
          <w:rFonts w:eastAsia="Times New Roman" w:cs="Arial"/>
          <w:b/>
          <w:szCs w:val="20"/>
          <w:lang w:eastAsia="tr-TR"/>
        </w:rPr>
        <w:t xml:space="preserve">                   </w:t>
      </w:r>
      <w:r w:rsidRPr="003F39C9">
        <w:rPr>
          <w:rFonts w:eastAsia="Times New Roman" w:cs="Arial"/>
          <w:b/>
          <w:color w:val="800080"/>
          <w:szCs w:val="20"/>
          <w:lang w:eastAsia="tr-TR"/>
        </w:rPr>
        <w:t>Resmî Gazete</w:t>
      </w:r>
      <w:r w:rsidRPr="003F39C9">
        <w:rPr>
          <w:rFonts w:eastAsia="Times New Roman" w:cs="Arial"/>
          <w:b/>
          <w:color w:val="800080"/>
          <w:szCs w:val="20"/>
          <w:lang w:eastAsia="tr-TR"/>
        </w:rPr>
        <w:tab/>
      </w:r>
      <w:r w:rsidR="003F39C9" w:rsidRPr="003F39C9">
        <w:rPr>
          <w:rFonts w:eastAsia="Times New Roman" w:cs="Arial"/>
          <w:b/>
          <w:color w:val="800080"/>
          <w:szCs w:val="20"/>
          <w:lang w:eastAsia="tr-TR"/>
        </w:rPr>
        <w:t xml:space="preserve">                                   </w:t>
      </w:r>
      <w:proofErr w:type="gramStart"/>
      <w:r w:rsidRPr="003F39C9">
        <w:rPr>
          <w:rFonts w:eastAsia="Times New Roman" w:cs="Arial"/>
          <w:szCs w:val="20"/>
          <w:lang w:eastAsia="tr-TR"/>
        </w:rPr>
        <w:t>Sayı : 28512</w:t>
      </w:r>
      <w:proofErr w:type="gramEnd"/>
    </w:p>
    <w:p w:rsidR="00917F62" w:rsidRPr="003F39C9" w:rsidRDefault="003F39C9" w:rsidP="00917F62">
      <w:pPr>
        <w:spacing w:before="100" w:beforeAutospacing="1" w:after="100" w:afterAutospacing="1" w:line="240" w:lineRule="auto"/>
        <w:ind w:left="108"/>
        <w:rPr>
          <w:rFonts w:eastAsia="Times New Roman" w:cs="Arial"/>
          <w:b/>
          <w:color w:val="000080"/>
          <w:szCs w:val="20"/>
          <w:lang w:eastAsia="tr-TR"/>
        </w:rPr>
      </w:pPr>
      <w:r w:rsidRPr="003F39C9">
        <w:rPr>
          <w:rFonts w:eastAsia="Times New Roman" w:cs="Arial"/>
          <w:b/>
          <w:color w:val="000080"/>
          <w:szCs w:val="20"/>
          <w:lang w:eastAsia="tr-TR"/>
        </w:rPr>
        <w:t xml:space="preserve">                                                                              </w:t>
      </w:r>
      <w:r w:rsidR="00917F62" w:rsidRPr="003F39C9">
        <w:rPr>
          <w:rFonts w:eastAsia="Times New Roman" w:cs="Arial"/>
          <w:b/>
          <w:color w:val="000080"/>
          <w:szCs w:val="20"/>
          <w:lang w:eastAsia="tr-TR"/>
        </w:rPr>
        <w:t>YÖNETMELİK</w:t>
      </w:r>
    </w:p>
    <w:p w:rsidR="00917F62" w:rsidRPr="003F39C9" w:rsidRDefault="00917F62" w:rsidP="00917F62">
      <w:pPr>
        <w:tabs>
          <w:tab w:val="left" w:pos="566"/>
        </w:tabs>
        <w:spacing w:after="0" w:line="240" w:lineRule="exact"/>
        <w:ind w:firstLine="566"/>
        <w:rPr>
          <w:rFonts w:eastAsia="ヒラギノ明朝 Pro W3" w:cs="Arial"/>
          <w:szCs w:val="20"/>
          <w:u w:val="single"/>
        </w:rPr>
      </w:pPr>
      <w:r w:rsidRPr="003F39C9">
        <w:rPr>
          <w:rFonts w:eastAsia="ヒラギノ明朝 Pro W3" w:cs="Arial"/>
          <w:szCs w:val="20"/>
          <w:u w:val="single"/>
        </w:rPr>
        <w:t>Başbakanlık (Hazine Müsteşarlığı)’tan:</w:t>
      </w:r>
    </w:p>
    <w:p w:rsidR="00917F62" w:rsidRPr="003F39C9" w:rsidRDefault="00917F62" w:rsidP="00917F62">
      <w:pPr>
        <w:spacing w:before="56" w:after="0" w:line="240" w:lineRule="exact"/>
        <w:jc w:val="center"/>
        <w:rPr>
          <w:rFonts w:eastAsia="ヒラギノ明朝 Pro W3" w:cs="Arial"/>
          <w:b/>
          <w:szCs w:val="20"/>
        </w:rPr>
      </w:pPr>
      <w:r w:rsidRPr="003F39C9">
        <w:rPr>
          <w:rFonts w:eastAsia="ヒラギノ明朝 Pro W3" w:cs="Arial"/>
          <w:b/>
          <w:szCs w:val="20"/>
        </w:rPr>
        <w:t>DERNEK, VAKIF, SANDIK VE DİĞER KURULUŞLARDAN BİREYSEL</w:t>
      </w:r>
    </w:p>
    <w:p w:rsidR="00917F62" w:rsidRPr="003F39C9" w:rsidRDefault="00917F62" w:rsidP="00917F62">
      <w:pPr>
        <w:spacing w:after="0" w:line="240" w:lineRule="exact"/>
        <w:jc w:val="center"/>
        <w:rPr>
          <w:rFonts w:eastAsia="ヒラギノ明朝 Pro W3" w:cs="Arial"/>
          <w:b/>
          <w:szCs w:val="20"/>
        </w:rPr>
      </w:pPr>
      <w:r w:rsidRPr="003F39C9">
        <w:rPr>
          <w:rFonts w:eastAsia="ヒラギノ明朝 Pro W3" w:cs="Arial"/>
          <w:b/>
          <w:szCs w:val="20"/>
        </w:rPr>
        <w:t>EMEKLİLİK SİSTEMİNE VE YILLIK GELİR SİGORTASINA</w:t>
      </w:r>
    </w:p>
    <w:p w:rsidR="00917F62" w:rsidRPr="003F39C9" w:rsidRDefault="00917F62" w:rsidP="00917F62">
      <w:pPr>
        <w:spacing w:after="0" w:line="240" w:lineRule="exact"/>
        <w:jc w:val="center"/>
        <w:rPr>
          <w:rFonts w:eastAsia="ヒラギノ明朝 Pro W3" w:cs="Arial"/>
          <w:b/>
          <w:szCs w:val="20"/>
        </w:rPr>
      </w:pPr>
      <w:r w:rsidRPr="003F39C9">
        <w:rPr>
          <w:rFonts w:eastAsia="ヒラギノ明朝 Pro W3" w:cs="Arial"/>
          <w:b/>
          <w:szCs w:val="20"/>
        </w:rPr>
        <w:t>AKTARIM HAKKINDA YÖNETMELİKTE DEĞİŞİKLİK</w:t>
      </w:r>
    </w:p>
    <w:p w:rsidR="00917F62" w:rsidRPr="003F39C9" w:rsidRDefault="00917F62" w:rsidP="00917F62">
      <w:pPr>
        <w:spacing w:after="170" w:line="240" w:lineRule="exact"/>
        <w:jc w:val="center"/>
        <w:rPr>
          <w:rFonts w:eastAsia="ヒラギノ明朝 Pro W3" w:cs="Arial"/>
          <w:b/>
          <w:szCs w:val="20"/>
        </w:rPr>
      </w:pPr>
      <w:r w:rsidRPr="003F39C9">
        <w:rPr>
          <w:rFonts w:eastAsia="ヒラギノ明朝 Pro W3" w:cs="Arial"/>
          <w:b/>
          <w:szCs w:val="20"/>
        </w:rPr>
        <w:t>YAPILMASINA DAİR YÖNETMELİK</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b/>
          <w:bCs/>
          <w:szCs w:val="20"/>
        </w:rPr>
        <w:t>MADDE 1 –</w:t>
      </w:r>
      <w:r w:rsidRPr="003F39C9">
        <w:rPr>
          <w:rFonts w:eastAsia="ヒラギノ明朝 Pro W3" w:cs="Arial"/>
          <w:szCs w:val="20"/>
        </w:rPr>
        <w:t xml:space="preserve"> </w:t>
      </w:r>
      <w:proofErr w:type="gramStart"/>
      <w:r w:rsidRPr="003F39C9">
        <w:rPr>
          <w:rFonts w:eastAsia="ヒラギノ明朝 Pro W3" w:cs="Arial"/>
          <w:szCs w:val="20"/>
        </w:rPr>
        <w:t>19/7/2008</w:t>
      </w:r>
      <w:proofErr w:type="gramEnd"/>
      <w:r w:rsidRPr="003F39C9">
        <w:rPr>
          <w:rFonts w:eastAsia="ヒラギノ明朝 Pro W3" w:cs="Arial"/>
          <w:szCs w:val="20"/>
        </w:rPr>
        <w:t xml:space="preserve"> tarihli ve 26941 sayılı Resmî Gazete’de yayımlanan Dernek, Vakıf, Sandık ve Diğer Kuruluşlardan Bireysel Emeklilik Sistemine ve Yıllık Gelir Sigortasına Aktarım Hakkında Yönetmeliğin adında yer alan “ve Yıllık Gelir Sigortasına” ibaresi yürürlükten kaldırılmıştır.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b/>
          <w:szCs w:val="20"/>
        </w:rPr>
        <w:t xml:space="preserve">MADDE 2 – </w:t>
      </w:r>
      <w:r w:rsidRPr="003F39C9">
        <w:rPr>
          <w:rFonts w:eastAsia="ヒラギノ明朝 Pro W3" w:cs="Arial"/>
          <w:szCs w:val="20"/>
        </w:rPr>
        <w:t>Aynı Yönetmeliğin 1 inci maddesinde yer alan “veya yıllık gelir sigortasına” ibaresi yürürlükten kaldırılmıştır.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b/>
          <w:szCs w:val="20"/>
        </w:rPr>
        <w:t xml:space="preserve">MADDE 3 – </w:t>
      </w:r>
      <w:r w:rsidRPr="003F39C9">
        <w:rPr>
          <w:rFonts w:eastAsia="ヒラギノ明朝 Pro W3" w:cs="Arial"/>
          <w:szCs w:val="20"/>
        </w:rPr>
        <w:t>Aynı Yönetmeliğin 3 üncü maddesinin birinci fıkrasının (a) bendinde yer alan “veya yıllık gelir sigortasına” ibaresi ile (j) ve (m) bentleri yürürlükten kaldırılmış ve (i) bendinde yer alan “çalışanlar ile bunların hak sahiplerini” ibaresi “çalışanları” şeklinde değiştirilmiştir.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b/>
          <w:szCs w:val="20"/>
        </w:rPr>
        <w:t xml:space="preserve">MADDE 4 – </w:t>
      </w:r>
      <w:r w:rsidRPr="003F39C9">
        <w:rPr>
          <w:rFonts w:eastAsia="ヒラギノ明朝 Pro W3" w:cs="Arial"/>
          <w:szCs w:val="20"/>
        </w:rPr>
        <w:t>Aynı Yönetmeliğin 4 üncü maddesinin birinci ve üçüncü fıkraları aşağıdaki şekilde değiştirilmiştir.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 xml:space="preserve">“(1) </w:t>
      </w:r>
      <w:proofErr w:type="gramStart"/>
      <w:r w:rsidRPr="003F39C9">
        <w:rPr>
          <w:rFonts w:eastAsia="ヒラギノ明朝 Pro W3" w:cs="Arial"/>
          <w:szCs w:val="20"/>
        </w:rPr>
        <w:t>16/4/2012</w:t>
      </w:r>
      <w:proofErr w:type="gramEnd"/>
      <w:r w:rsidRPr="003F39C9">
        <w:rPr>
          <w:rFonts w:eastAsia="ヒラギノ明朝 Pro W3" w:cs="Arial"/>
          <w:szCs w:val="20"/>
        </w:rPr>
        <w:t xml:space="preserve"> tarihi itibarıyla mevcut bulunan emeklilik taahhüt planları kapsamındaki birikimler, 31/12/2015 tarihine kadar kısmen veya tamamen, emeklilik sözleşmesine aktarılabilir. Bu tarihte tanımlanmış katkı veya tanımlanmış fayda esasının yahut bunların her ikisinin özelliklerini taşıyan emeklilik taahhüt planlarında tanımlı bulunan esaslara göre, fiili aktarım tarihine kadar gerçekleşen yurt içi ya da yurt dışındaki tüm birikimler aktarıma konu edilebilir.”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 xml:space="preserve">“(3) Hizmet sunucusunun yetkili organlarınca karar alınması ve üyenin buna </w:t>
      </w:r>
      <w:proofErr w:type="spellStart"/>
      <w:r w:rsidRPr="003F39C9">
        <w:rPr>
          <w:rFonts w:eastAsia="ヒラギノ明朝 Pro W3" w:cs="Arial"/>
          <w:szCs w:val="20"/>
        </w:rPr>
        <w:t>muvafakatı</w:t>
      </w:r>
      <w:proofErr w:type="spellEnd"/>
      <w:r w:rsidRPr="003F39C9">
        <w:rPr>
          <w:rFonts w:eastAsia="ヒラギノ明朝 Pro W3" w:cs="Arial"/>
          <w:szCs w:val="20"/>
        </w:rPr>
        <w:t xml:space="preserve"> şartıyla, pasif üyelerin birikimleri de bireysel emeklilik sistemine aktarılabilir.”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b/>
          <w:szCs w:val="20"/>
        </w:rPr>
        <w:t xml:space="preserve">MADDE 5 – </w:t>
      </w:r>
      <w:r w:rsidRPr="003F39C9">
        <w:rPr>
          <w:rFonts w:eastAsia="ヒラギノ明朝 Pro W3" w:cs="Arial"/>
          <w:szCs w:val="20"/>
        </w:rPr>
        <w:t xml:space="preserve">Aynı Yönetmeliğin 6 </w:t>
      </w:r>
      <w:proofErr w:type="spellStart"/>
      <w:r w:rsidRPr="003F39C9">
        <w:rPr>
          <w:rFonts w:eastAsia="ヒラギノ明朝 Pro W3" w:cs="Arial"/>
          <w:szCs w:val="20"/>
        </w:rPr>
        <w:t>ncı</w:t>
      </w:r>
      <w:proofErr w:type="spellEnd"/>
      <w:r w:rsidRPr="003F39C9">
        <w:rPr>
          <w:rFonts w:eastAsia="ヒラギノ明朝 Pro W3" w:cs="Arial"/>
          <w:szCs w:val="20"/>
        </w:rPr>
        <w:t xml:space="preserve"> maddesi aşağıdaki şekilde değiştirilmiştir.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b/>
          <w:szCs w:val="20"/>
        </w:rPr>
        <w:t>“MADDE 6 –</w:t>
      </w:r>
      <w:r w:rsidRPr="003F39C9">
        <w:rPr>
          <w:rFonts w:eastAsia="ヒラギノ明朝 Pro W3" w:cs="Arial"/>
          <w:szCs w:val="20"/>
        </w:rPr>
        <w:t xml:space="preserve"> (1) Aktarım için hizmet sunucusunun yetkili organlarınca karar alınması şarttır. Hizmet sunucusunun yetkili organlarınca alınmış karara göre aktarım bireysel veya grup olarak yapılabilir.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 xml:space="preserve">(2) Tanımlanmış katkı esaslı emeklilik planlarından yapılacak aktarımlarda, emeklilik birikimlerinin bulunduğu hesapların kişiselleştirilmiş olması, diğer taahhütlerin durumu ve emeklilik taahhüt planının </w:t>
      </w:r>
      <w:proofErr w:type="spellStart"/>
      <w:r w:rsidRPr="003F39C9">
        <w:rPr>
          <w:rFonts w:eastAsia="ヒラギノ明朝 Pro W3" w:cs="Arial"/>
          <w:szCs w:val="20"/>
        </w:rPr>
        <w:t>aktüeryal</w:t>
      </w:r>
      <w:proofErr w:type="spellEnd"/>
      <w:r w:rsidRPr="003F39C9">
        <w:rPr>
          <w:rFonts w:eastAsia="ヒラギノ明朝 Pro W3" w:cs="Arial"/>
          <w:szCs w:val="20"/>
        </w:rPr>
        <w:t xml:space="preserve"> açıdan değerlendirmesi dikkate alınarak Müsteşarlıkça uygun görülmesi halinde yetkili organlarınca karar alınması şartı aranmayabilir.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(3) Birden fazla emeklilik taahhüt planı kapsamındaki aynı kişiye ait birikimler, aynı emeklilik sözleşmesine aktarılabilir.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(4) Bir emeklilik taahhüt planı kapsamındaki birikimler, birden fazla emeklilik şirketine aktarılabilir.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(5) Aktarım tutarı, emeklilik şirketine nakden ödenir.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(6) Aktarım tutarı üzerinden aktarıma ilişkin olarak herhangi bir kesinti yapılmaz ve giriş aidatı alınmaz.</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(7) Aktarım tutarı için devlet katkısı ödenmez.</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 xml:space="preserve">(8) Aktarımın tek seferde yapılması esastır. Bireysel emeklilik sistemine yapılacak aktarımda, hizmet sunucusunun aktifinde bulunan varlıkların nakde dönüştürülmesi veya taahhütlerin </w:t>
      </w:r>
      <w:proofErr w:type="spellStart"/>
      <w:r w:rsidRPr="003F39C9">
        <w:rPr>
          <w:rFonts w:eastAsia="ヒラギノ明朝 Pro W3" w:cs="Arial"/>
          <w:szCs w:val="20"/>
        </w:rPr>
        <w:t>fonlanmamış</w:t>
      </w:r>
      <w:proofErr w:type="spellEnd"/>
      <w:r w:rsidRPr="003F39C9">
        <w:rPr>
          <w:rFonts w:eastAsia="ヒラギノ明朝 Pro W3" w:cs="Arial"/>
          <w:szCs w:val="20"/>
        </w:rPr>
        <w:t xml:space="preserve"> kısmının </w:t>
      </w:r>
      <w:proofErr w:type="spellStart"/>
      <w:r w:rsidRPr="003F39C9">
        <w:rPr>
          <w:rFonts w:eastAsia="ヒラギノ明朝 Pro W3" w:cs="Arial"/>
          <w:szCs w:val="20"/>
        </w:rPr>
        <w:t>fonlanmasının</w:t>
      </w:r>
      <w:proofErr w:type="spellEnd"/>
      <w:r w:rsidRPr="003F39C9">
        <w:rPr>
          <w:rFonts w:eastAsia="ヒラギノ明朝 Pro W3" w:cs="Arial"/>
          <w:szCs w:val="20"/>
        </w:rPr>
        <w:t xml:space="preserve"> sağlanması amacıyla, </w:t>
      </w:r>
      <w:proofErr w:type="gramStart"/>
      <w:r w:rsidRPr="003F39C9">
        <w:rPr>
          <w:rFonts w:eastAsia="ヒラギノ明朝 Pro W3" w:cs="Arial"/>
          <w:szCs w:val="20"/>
        </w:rPr>
        <w:t>31/12/2015</w:t>
      </w:r>
      <w:proofErr w:type="gramEnd"/>
      <w:r w:rsidRPr="003F39C9">
        <w:rPr>
          <w:rFonts w:eastAsia="ヒラギノ明朝 Pro W3" w:cs="Arial"/>
          <w:szCs w:val="20"/>
        </w:rPr>
        <w:t xml:space="preserve"> tarihine kadar gerçekleştirilmesi ve 5 inci maddede belirtilen aktarıma ilişkin iş planında belirtilmesi kaydıyla, aktarım kısım kısım da yapılabilir.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(9) Üye veya çalışanın bireysel emeklilik sisteminden emeklilik hakkını kazanması için her durumda aktarım tarihinden veya aktarımın kısım kısım yapılması halinde ilk aktarımın yapıldığı tarihten itibaren bireysel emeklilik sisteminde en az üç yıl kalması gerekir.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(10) Sosyal güvenlik sistemi kapsamında emeklilik hakkı kazanmış olan pasif üyelere ve bu hakkı aktarım tarihinden sonra elde etmiş üyelere, 53 yaşını doldurmuş olmaları kaydıyla, Müsteşarlıkça belirlenecek esas ve usuller kapsamında emeklilik gelir planından ödeme yapılabilir. Dokuzuncu fıkrada belirtilen sistemde üç yıl kalma şartı, bu kişiler için de geçerlidir.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(11) Emeklilik şirketi aktarım yapılmadan önce, aktarım için önerdiği ürünlerin özelliklerine ve yasal kesintilere ilişkin olarak hizmet sunucusu ile üye ve çalışanları bilgilendirir.”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b/>
          <w:szCs w:val="20"/>
        </w:rPr>
        <w:t xml:space="preserve">MADDE 6 – </w:t>
      </w:r>
      <w:r w:rsidRPr="003F39C9">
        <w:rPr>
          <w:rFonts w:eastAsia="ヒラギノ明朝 Pro W3" w:cs="Arial"/>
          <w:szCs w:val="20"/>
        </w:rPr>
        <w:t xml:space="preserve">Aynı Yönetmeliğin 7 </w:t>
      </w:r>
      <w:proofErr w:type="spellStart"/>
      <w:r w:rsidRPr="003F39C9">
        <w:rPr>
          <w:rFonts w:eastAsia="ヒラギノ明朝 Pro W3" w:cs="Arial"/>
          <w:szCs w:val="20"/>
        </w:rPr>
        <w:t>nci</w:t>
      </w:r>
      <w:proofErr w:type="spellEnd"/>
      <w:r w:rsidRPr="003F39C9">
        <w:rPr>
          <w:rFonts w:eastAsia="ヒラギノ明朝 Pro W3" w:cs="Arial"/>
          <w:szCs w:val="20"/>
        </w:rPr>
        <w:t xml:space="preserve"> maddesinin yedinci fıkrası aşağıdaki şekilde değiştirilmiştir.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“(7) Bu maddeye göre hesaplanan sürenin kazanılmış olması için aktarım tarihini müteakip veya aktarımın kısım kısım yapılması durumunda ilk aktarımın yapıldığı tarihi takiben bireysel emeklilik sisteminde en az üç yıl kalınması gerekir. Üç yıllık süreyi doldurmadan sistemden ayrılan katılımcılar aktarım için gerekli şartı yerine getirmediğinden hiç aktarım yapmamış kabul edilir ve ayrılma işlemlerinde, aktarım öncesinde tabi olunan mevzuat hükümleri dikkate alınır. Vefat veya malûliyet nedeniyle bireysel emeklilik sisteminden ayrılanlar için üç yıl kalma şartı aranmaz.”</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b/>
          <w:szCs w:val="20"/>
        </w:rPr>
        <w:t xml:space="preserve">MADDE 7 – </w:t>
      </w:r>
      <w:r w:rsidRPr="003F39C9">
        <w:rPr>
          <w:rFonts w:eastAsia="ヒラギノ明朝 Pro W3" w:cs="Arial"/>
          <w:szCs w:val="20"/>
        </w:rPr>
        <w:t>Aynı Yönetmeliğin 8 inci maddesi aşağıdaki şekilde değiştirilmiştir.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b/>
          <w:szCs w:val="20"/>
        </w:rPr>
        <w:lastRenderedPageBreak/>
        <w:t xml:space="preserve">“MADDE 8 – </w:t>
      </w:r>
      <w:r w:rsidRPr="003F39C9">
        <w:rPr>
          <w:rFonts w:eastAsia="ヒラギノ明朝 Pro W3" w:cs="Arial"/>
          <w:szCs w:val="20"/>
        </w:rPr>
        <w:t xml:space="preserve">(1) Üye veya çalışan, 4 üncü maddenin üçüncü fıkrası hükmü saklı kalmak kaydıyla emeklilik taahhüt planındaki birikimini 6 </w:t>
      </w:r>
      <w:proofErr w:type="spellStart"/>
      <w:r w:rsidRPr="003F39C9">
        <w:rPr>
          <w:rFonts w:eastAsia="ヒラギノ明朝 Pro W3" w:cs="Arial"/>
          <w:szCs w:val="20"/>
        </w:rPr>
        <w:t>ncı</w:t>
      </w:r>
      <w:proofErr w:type="spellEnd"/>
      <w:r w:rsidRPr="003F39C9">
        <w:rPr>
          <w:rFonts w:eastAsia="ヒラギノ明朝 Pro W3" w:cs="Arial"/>
          <w:szCs w:val="20"/>
        </w:rPr>
        <w:t xml:space="preserve"> maddede belirtilen esaslara göre mevcut veya yeni yapılacak bir bireysel emeklilik sözleşmesine veya gruba bağlı bireysel emeklilik sözleşmesine aktarabilir.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(2) Hizmet sunucusu, yazılı talebin kendisine ulaşmasını müteakip on iş günü içinde, içeriği Müsteşarlıkça belirlenen aktarım bilgi ve hesap formunu üye veya çalışana gönderir.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(3) Üye veya çalışan, aktarım bilgi ve hesap formu ile birlikte emeklilik şirketine başvurur. İlgili şirket, kişiye talebine göre bir emeklilik planı teklifi sunar; önerdiği ürünlerin özelliklerine ilişkin bilgiler ile bireysel emeklilik mevzuatına göre katılımcıya sunulması gerekli bilgileri verir. Üye veya çalışan, teklifi kabul etmesi halinde, içeriği Müsteşarlıkça belirlenen aktarım talep formunu imzalayarak hizmet sunucusuna gönderir ve aktarımın yapılmasını ister.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(4) Hizmet sunucusu, aktarım talep formunun kendisine ulaşmasını müteakip aktarım tutarını emeklilik şirketinin ilgili hesap numarasına öder. Emeklilik sözleşmesi aktarılan tutarın emeklilik şirketi hesaplarına intikal ettiği anda yürürlüğe girer.”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b/>
          <w:szCs w:val="20"/>
        </w:rPr>
        <w:t xml:space="preserve">MADDE 8 – </w:t>
      </w:r>
      <w:r w:rsidRPr="003F39C9">
        <w:rPr>
          <w:rFonts w:eastAsia="ヒラギノ明朝 Pro W3" w:cs="Arial"/>
          <w:szCs w:val="20"/>
        </w:rPr>
        <w:t>Aynı Yönetmeliğin 9 uncu maddesi aşağıdaki şekilde değiştirilmiştir.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b/>
          <w:szCs w:val="20"/>
        </w:rPr>
        <w:t>“MADDE 9 –</w:t>
      </w:r>
      <w:r w:rsidRPr="003F39C9">
        <w:rPr>
          <w:rFonts w:eastAsia="ヒラギノ明朝 Pro W3" w:cs="Arial"/>
          <w:szCs w:val="20"/>
        </w:rPr>
        <w:t xml:space="preserve"> (1) İş hukukuna ilişkin hükümler saklı kalmak kaydıyla, hizmet sunucusunun yetkili organlarınca alınmış karara göre tüm üyeler veya çalışanların ya da bunların bir kısmının birikimleri, işveren grup emeklilik sözleşmeleri </w:t>
      </w:r>
      <w:proofErr w:type="gramStart"/>
      <w:r w:rsidRPr="003F39C9">
        <w:rPr>
          <w:rFonts w:eastAsia="ヒラギノ明朝 Pro W3" w:cs="Arial"/>
          <w:szCs w:val="20"/>
        </w:rPr>
        <w:t>dahil</w:t>
      </w:r>
      <w:proofErr w:type="gramEnd"/>
      <w:r w:rsidRPr="003F39C9">
        <w:rPr>
          <w:rFonts w:eastAsia="ヒラギノ明朝 Pro W3" w:cs="Arial"/>
          <w:szCs w:val="20"/>
        </w:rPr>
        <w:t xml:space="preserve"> herhangi bir emeklilik sözleşmesine grup halinde aktarılabilir.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szCs w:val="20"/>
        </w:rPr>
        <w:t xml:space="preserve">(2) Hizmet sunucusu, aktarım bilgi ve hesap formu ile birlikte yazılı olarak emeklilik şirketine başvurur ve gruba </w:t>
      </w:r>
      <w:proofErr w:type="gramStart"/>
      <w:r w:rsidRPr="003F39C9">
        <w:rPr>
          <w:rFonts w:eastAsia="ヒラギノ明朝 Pro W3" w:cs="Arial"/>
          <w:szCs w:val="20"/>
        </w:rPr>
        <w:t>dahil</w:t>
      </w:r>
      <w:proofErr w:type="gramEnd"/>
      <w:r w:rsidRPr="003F39C9">
        <w:rPr>
          <w:rFonts w:eastAsia="ヒラギノ明朝 Pro W3" w:cs="Arial"/>
          <w:szCs w:val="20"/>
        </w:rPr>
        <w:t xml:space="preserve"> kişilerin bilgilerini elektronik ortamda şirkete gönderir. İlgili şirket, hizmet sunucusuna gruba uygun bir emeklilik planı teklifi sunar; önerdiği ürünlerin özelliklerine ilişkin bilgiler ile bireysel emeklilik mevzuatına göre sunulması gerekli bilgileri hizmet sunucusu ile üye veya çalışanlara verir. Hizmet sunucusu, teklifi kabul etmesi halinde, aktarım tutarını emeklilik şirketinin ilgili hesap numarasına öder. Emeklilik sözleşmesi aktarılan tutarın emeklilik şirketinin hesaplarına intikal ettiği tarih itibarıyla yürürlüğe girer.”</w:t>
      </w:r>
    </w:p>
    <w:p w:rsidR="00917F62" w:rsidRPr="003F39C9" w:rsidRDefault="00917F62" w:rsidP="00917F62">
      <w:pPr>
        <w:tabs>
          <w:tab w:val="left" w:pos="566"/>
        </w:tabs>
        <w:spacing w:after="0" w:line="240" w:lineRule="exact"/>
        <w:ind w:firstLine="566"/>
        <w:jc w:val="both"/>
        <w:rPr>
          <w:rFonts w:eastAsia="ヒラギノ明朝 Pro W3" w:cs="Arial"/>
          <w:szCs w:val="20"/>
        </w:rPr>
      </w:pPr>
      <w:r w:rsidRPr="003F39C9">
        <w:rPr>
          <w:rFonts w:eastAsia="ヒラギノ明朝 Pro W3" w:cs="Arial"/>
          <w:b/>
          <w:szCs w:val="20"/>
        </w:rPr>
        <w:t xml:space="preserve">MADDE 9 – </w:t>
      </w:r>
      <w:r w:rsidRPr="003F39C9">
        <w:rPr>
          <w:rFonts w:eastAsia="ヒラギノ明朝 Pro W3" w:cs="Arial"/>
          <w:szCs w:val="20"/>
        </w:rPr>
        <w:t>Bu Yönetmelik yayımı tarihinde yürürlüğe girer.</w:t>
      </w:r>
    </w:p>
    <w:p w:rsidR="00917F62" w:rsidRPr="003F39C9" w:rsidRDefault="00917F62" w:rsidP="00917F62">
      <w:pPr>
        <w:tabs>
          <w:tab w:val="left" w:pos="566"/>
        </w:tabs>
        <w:spacing w:after="56" w:line="240" w:lineRule="exact"/>
        <w:ind w:firstLine="566"/>
        <w:jc w:val="both"/>
        <w:rPr>
          <w:rFonts w:eastAsia="ヒラギノ明朝 Pro W3" w:cs="Arial"/>
          <w:szCs w:val="20"/>
        </w:rPr>
      </w:pPr>
      <w:r w:rsidRPr="003F39C9">
        <w:rPr>
          <w:rFonts w:eastAsia="ヒラギノ明朝 Pro W3" w:cs="Arial"/>
          <w:b/>
          <w:szCs w:val="20"/>
        </w:rPr>
        <w:t xml:space="preserve">MADDE 10 – </w:t>
      </w:r>
      <w:r w:rsidRPr="003F39C9">
        <w:rPr>
          <w:rFonts w:eastAsia="ヒラギノ明朝 Pro W3" w:cs="Arial"/>
          <w:szCs w:val="20"/>
        </w:rPr>
        <w:t>Bu Yönetmelik hükümlerini Hazine Müsteşarlığının bağlı olduğu Bakan yürütür.</w:t>
      </w:r>
    </w:p>
    <w:p w:rsidR="00917F62" w:rsidRPr="003F39C9" w:rsidRDefault="00917F62" w:rsidP="00917F62">
      <w:pPr>
        <w:tabs>
          <w:tab w:val="left" w:pos="566"/>
        </w:tabs>
        <w:spacing w:after="56" w:line="240" w:lineRule="exact"/>
        <w:ind w:firstLine="566"/>
        <w:jc w:val="both"/>
        <w:rPr>
          <w:rFonts w:eastAsia="ヒラギノ明朝 Pro W3" w:cs="Arial"/>
          <w:szCs w:val="20"/>
        </w:rPr>
      </w:pPr>
    </w:p>
    <w:p w:rsidR="00917F62" w:rsidRPr="003F39C9" w:rsidRDefault="00917F62" w:rsidP="00917F62">
      <w:pPr>
        <w:spacing w:after="0" w:line="240" w:lineRule="exact"/>
        <w:ind w:left="113"/>
        <w:rPr>
          <w:rFonts w:eastAsia="ヒラギノ明朝 Pro W3" w:cs="Arial"/>
          <w:b/>
          <w:szCs w:val="20"/>
        </w:rPr>
      </w:pPr>
      <w:r w:rsidRPr="003F39C9">
        <w:rPr>
          <w:rFonts w:eastAsia="ヒラギノ明朝 Pro W3" w:cs="Arial"/>
          <w:b/>
          <w:szCs w:val="20"/>
        </w:rPr>
        <w:t>Yönetmeliğin Yayımlandığı Resmî Gazete'nin</w:t>
      </w:r>
    </w:p>
    <w:p w:rsidR="00917F62" w:rsidRPr="003F39C9" w:rsidRDefault="00917F62" w:rsidP="00917F62">
      <w:pPr>
        <w:tabs>
          <w:tab w:val="left" w:pos="4367"/>
        </w:tabs>
        <w:spacing w:after="0" w:line="240" w:lineRule="exact"/>
        <w:ind w:left="113"/>
        <w:rPr>
          <w:rFonts w:eastAsia="ヒラギノ明朝 Pro W3" w:cs="Arial"/>
          <w:b/>
          <w:szCs w:val="20"/>
        </w:rPr>
      </w:pPr>
      <w:r w:rsidRPr="003F39C9">
        <w:rPr>
          <w:rFonts w:eastAsia="ヒラギノ明朝 Pro W3" w:cs="Arial"/>
          <w:b/>
          <w:szCs w:val="20"/>
        </w:rPr>
        <w:t>Tarihi</w:t>
      </w:r>
      <w:r w:rsidRPr="003F39C9">
        <w:rPr>
          <w:rFonts w:eastAsia="ヒラギノ明朝 Pro W3" w:cs="Arial"/>
          <w:b/>
          <w:szCs w:val="20"/>
        </w:rPr>
        <w:tab/>
        <w:t>Sayısı</w:t>
      </w:r>
    </w:p>
    <w:p w:rsidR="00917F62" w:rsidRPr="003F39C9" w:rsidRDefault="00917F62" w:rsidP="00917F62">
      <w:pPr>
        <w:tabs>
          <w:tab w:val="left" w:pos="4367"/>
        </w:tabs>
        <w:spacing w:after="0" w:line="240" w:lineRule="exact"/>
        <w:ind w:left="113"/>
        <w:rPr>
          <w:rFonts w:eastAsia="ヒラギノ明朝 Pro W3" w:cs="Arial"/>
          <w:szCs w:val="20"/>
        </w:rPr>
      </w:pPr>
      <w:proofErr w:type="gramStart"/>
      <w:r w:rsidRPr="003F39C9">
        <w:rPr>
          <w:rFonts w:eastAsia="ヒラギノ明朝 Pro W3" w:cs="Arial"/>
          <w:szCs w:val="20"/>
        </w:rPr>
        <w:t>19/7/2008</w:t>
      </w:r>
      <w:proofErr w:type="gramEnd"/>
      <w:r w:rsidRPr="003F39C9">
        <w:rPr>
          <w:rFonts w:eastAsia="ヒラギノ明朝 Pro W3" w:cs="Arial"/>
          <w:szCs w:val="20"/>
        </w:rPr>
        <w:tab/>
        <w:t>26941</w:t>
      </w:r>
    </w:p>
    <w:p w:rsidR="00917F62" w:rsidRPr="003F39C9" w:rsidRDefault="00917F62" w:rsidP="00917F62">
      <w:pPr>
        <w:spacing w:before="100" w:beforeAutospacing="1" w:after="100" w:afterAutospacing="1" w:line="240" w:lineRule="auto"/>
        <w:ind w:left="108"/>
        <w:rPr>
          <w:rFonts w:eastAsia="Times New Roman" w:cs="Arial"/>
          <w:b/>
          <w:color w:val="000080"/>
          <w:szCs w:val="20"/>
          <w:lang w:eastAsia="tr-TR"/>
        </w:rPr>
      </w:pPr>
    </w:p>
    <w:p w:rsidR="00917F62" w:rsidRPr="003F39C9" w:rsidRDefault="00917F62" w:rsidP="00917F62">
      <w:pPr>
        <w:spacing w:after="0" w:line="240" w:lineRule="auto"/>
        <w:ind w:left="108"/>
        <w:rPr>
          <w:rFonts w:eastAsia="Times New Roman" w:cs="Arial"/>
          <w:szCs w:val="20"/>
          <w:lang w:eastAsia="tr-TR"/>
        </w:rPr>
      </w:pPr>
    </w:p>
    <w:p w:rsidR="00917F62" w:rsidRPr="003F39C9" w:rsidRDefault="00917F62" w:rsidP="00917F62">
      <w:pPr>
        <w:spacing w:after="0" w:line="240" w:lineRule="auto"/>
        <w:jc w:val="center"/>
        <w:rPr>
          <w:rFonts w:eastAsia="Times New Roman" w:cs="Arial"/>
          <w:szCs w:val="20"/>
          <w:lang w:eastAsia="tr-TR"/>
        </w:rPr>
      </w:pPr>
    </w:p>
    <w:p w:rsidR="004A62C8" w:rsidRPr="003F39C9" w:rsidRDefault="004A62C8">
      <w:pPr>
        <w:rPr>
          <w:rFonts w:cs="Arial"/>
          <w:szCs w:val="20"/>
        </w:rPr>
      </w:pPr>
    </w:p>
    <w:sectPr w:rsidR="004A62C8" w:rsidRPr="003F39C9" w:rsidSect="004A62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7F62"/>
    <w:rsid w:val="003F39C9"/>
    <w:rsid w:val="004A62C8"/>
    <w:rsid w:val="00636515"/>
    <w:rsid w:val="008A2958"/>
    <w:rsid w:val="00917F62"/>
    <w:rsid w:val="00AB35C0"/>
    <w:rsid w:val="00F536A2"/>
    <w:rsid w:val="00F639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17F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917F62"/>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917F62"/>
    <w:pPr>
      <w:tabs>
        <w:tab w:val="left" w:pos="566"/>
      </w:tabs>
      <w:spacing w:after="0" w:line="240" w:lineRule="auto"/>
    </w:pPr>
    <w:rPr>
      <w:rFonts w:ascii="Times New Roman" w:eastAsia="ヒラギノ明朝 Pro W3" w:hAnsi="Times" w:cs="Times New Roman"/>
      <w:sz w:val="22"/>
      <w:szCs w:val="20"/>
      <w:u w:val="single"/>
    </w:rPr>
  </w:style>
  <w:style w:type="paragraph" w:customStyle="1" w:styleId="3-NormalYaz">
    <w:name w:val="3-Normal Yazı"/>
    <w:rsid w:val="00917F62"/>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917F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7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567935">
      <w:bodyDiv w:val="1"/>
      <w:marLeft w:val="0"/>
      <w:marRight w:val="0"/>
      <w:marTop w:val="0"/>
      <w:marBottom w:val="0"/>
      <w:divBdr>
        <w:top w:val="none" w:sz="0" w:space="0" w:color="auto"/>
        <w:left w:val="none" w:sz="0" w:space="0" w:color="auto"/>
        <w:bottom w:val="none" w:sz="0" w:space="0" w:color="auto"/>
        <w:right w:val="none" w:sz="0" w:space="0" w:color="auto"/>
      </w:divBdr>
      <w:divsChild>
        <w:div w:id="1508137187">
          <w:marLeft w:val="0"/>
          <w:marRight w:val="0"/>
          <w:marTop w:val="0"/>
          <w:marBottom w:val="0"/>
          <w:divBdr>
            <w:top w:val="none" w:sz="0" w:space="0" w:color="auto"/>
            <w:left w:val="none" w:sz="0" w:space="0" w:color="auto"/>
            <w:bottom w:val="none" w:sz="0" w:space="0" w:color="auto"/>
            <w:right w:val="none" w:sz="0" w:space="0" w:color="auto"/>
          </w:divBdr>
          <w:divsChild>
            <w:div w:id="1196501457">
              <w:marLeft w:val="0"/>
              <w:marRight w:val="0"/>
              <w:marTop w:val="0"/>
              <w:marBottom w:val="0"/>
              <w:divBdr>
                <w:top w:val="none" w:sz="0" w:space="0" w:color="auto"/>
                <w:left w:val="none" w:sz="0" w:space="0" w:color="auto"/>
                <w:bottom w:val="none" w:sz="0" w:space="0" w:color="auto"/>
                <w:right w:val="none" w:sz="0" w:space="0" w:color="auto"/>
              </w:divBdr>
              <w:divsChild>
                <w:div w:id="19621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EGM-TG</dc:creator>
  <cp:keywords/>
  <dc:description/>
  <cp:lastModifiedBy>EGM 6645</cp:lastModifiedBy>
  <cp:revision>2</cp:revision>
  <dcterms:created xsi:type="dcterms:W3CDTF">2012-12-29T10:12:00Z</dcterms:created>
  <dcterms:modified xsi:type="dcterms:W3CDTF">2012-12-31T09:11:00Z</dcterms:modified>
</cp:coreProperties>
</file>