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340A04" w:rsidRPr="00B569D5" w:rsidTr="00340A04">
        <w:trPr>
          <w:jc w:val="center"/>
        </w:trPr>
        <w:tc>
          <w:tcPr>
            <w:tcW w:w="9104" w:type="dxa"/>
            <w:hideMark/>
          </w:tcPr>
          <w:tbl>
            <w:tblPr>
              <w:tblW w:w="8789" w:type="dxa"/>
              <w:jc w:val="center"/>
              <w:tblLook w:val="01E0"/>
            </w:tblPr>
            <w:tblGrid>
              <w:gridCol w:w="2931"/>
              <w:gridCol w:w="2931"/>
              <w:gridCol w:w="2927"/>
            </w:tblGrid>
            <w:tr w:rsidR="00340A04" w:rsidRPr="00B569D5">
              <w:trPr>
                <w:trHeight w:val="317"/>
                <w:jc w:val="center"/>
              </w:trPr>
              <w:tc>
                <w:tcPr>
                  <w:tcW w:w="2931" w:type="dxa"/>
                  <w:tcBorders>
                    <w:top w:val="nil"/>
                    <w:left w:val="nil"/>
                    <w:bottom w:val="single" w:sz="4" w:space="0" w:color="660066"/>
                    <w:right w:val="nil"/>
                  </w:tcBorders>
                  <w:vAlign w:val="center"/>
                  <w:hideMark/>
                </w:tcPr>
                <w:p w:rsidR="00340A04" w:rsidRPr="00B569D5" w:rsidRDefault="00340A04" w:rsidP="00340A04">
                  <w:pPr>
                    <w:tabs>
                      <w:tab w:val="left" w:pos="567"/>
                      <w:tab w:val="center" w:pos="994"/>
                      <w:tab w:val="center" w:pos="3543"/>
                      <w:tab w:val="right" w:pos="6520"/>
                    </w:tabs>
                    <w:spacing w:after="0" w:line="240" w:lineRule="exact"/>
                    <w:rPr>
                      <w:rFonts w:ascii="Arial" w:eastAsia="Times New Roman" w:hAnsi="Arial" w:cs="Arial"/>
                      <w:b/>
                      <w:sz w:val="20"/>
                      <w:szCs w:val="20"/>
                      <w:lang w:eastAsia="tr-TR"/>
                    </w:rPr>
                  </w:pPr>
                  <w:r w:rsidRPr="00B569D5">
                    <w:rPr>
                      <w:rFonts w:ascii="Arial" w:eastAsia="Times New Roman" w:hAnsi="Arial" w:cs="Arial"/>
                      <w:sz w:val="20"/>
                      <w:szCs w:val="20"/>
                      <w:lang w:eastAsia="tr-TR"/>
                    </w:rPr>
                    <w:t xml:space="preserve">27 Temmuz </w:t>
                  </w:r>
                  <w:proofErr w:type="gramStart"/>
                  <w:r w:rsidRPr="00B569D5">
                    <w:rPr>
                      <w:rFonts w:ascii="Arial" w:eastAsia="Times New Roman" w:hAnsi="Arial" w:cs="Arial"/>
                      <w:sz w:val="20"/>
                      <w:szCs w:val="20"/>
                      <w:lang w:eastAsia="tr-TR"/>
                    </w:rPr>
                    <w:t>2013  CUMARTESİ</w:t>
                  </w:r>
                  <w:proofErr w:type="gramEnd"/>
                </w:p>
              </w:tc>
              <w:tc>
                <w:tcPr>
                  <w:tcW w:w="2931" w:type="dxa"/>
                  <w:tcBorders>
                    <w:top w:val="nil"/>
                    <w:left w:val="nil"/>
                    <w:bottom w:val="single" w:sz="4" w:space="0" w:color="660066"/>
                    <w:right w:val="nil"/>
                  </w:tcBorders>
                  <w:vAlign w:val="center"/>
                  <w:hideMark/>
                </w:tcPr>
                <w:p w:rsidR="00340A04" w:rsidRPr="00B569D5" w:rsidRDefault="00340A04" w:rsidP="00340A04">
                  <w:pPr>
                    <w:tabs>
                      <w:tab w:val="left" w:pos="567"/>
                      <w:tab w:val="center" w:pos="994"/>
                      <w:tab w:val="center" w:pos="3543"/>
                      <w:tab w:val="right" w:pos="6520"/>
                    </w:tabs>
                    <w:spacing w:after="0" w:line="240" w:lineRule="exact"/>
                    <w:jc w:val="center"/>
                    <w:rPr>
                      <w:rFonts w:ascii="Arial" w:eastAsia="Times New Roman" w:hAnsi="Arial" w:cs="Arial"/>
                      <w:b/>
                      <w:color w:val="800080"/>
                      <w:sz w:val="20"/>
                      <w:szCs w:val="20"/>
                      <w:lang w:eastAsia="tr-TR"/>
                    </w:rPr>
                  </w:pPr>
                  <w:r w:rsidRPr="00B569D5">
                    <w:rPr>
                      <w:rFonts w:ascii="Arial" w:eastAsia="Times New Roman" w:hAnsi="Arial" w:cs="Arial"/>
                      <w:b/>
                      <w:color w:val="800080"/>
                      <w:sz w:val="20"/>
                      <w:szCs w:val="20"/>
                      <w:lang w:eastAsia="tr-TR"/>
                    </w:rPr>
                    <w:t>Resmî Gazete</w:t>
                  </w:r>
                </w:p>
              </w:tc>
              <w:tc>
                <w:tcPr>
                  <w:tcW w:w="2927" w:type="dxa"/>
                  <w:tcBorders>
                    <w:top w:val="nil"/>
                    <w:left w:val="nil"/>
                    <w:bottom w:val="single" w:sz="4" w:space="0" w:color="660066"/>
                    <w:right w:val="nil"/>
                  </w:tcBorders>
                  <w:vAlign w:val="center"/>
                  <w:hideMark/>
                </w:tcPr>
                <w:p w:rsidR="00340A04" w:rsidRPr="00B569D5" w:rsidRDefault="00340A04" w:rsidP="00340A04">
                  <w:pPr>
                    <w:spacing w:before="100" w:beforeAutospacing="1" w:after="100" w:afterAutospacing="1" w:line="240" w:lineRule="auto"/>
                    <w:jc w:val="right"/>
                    <w:rPr>
                      <w:rFonts w:ascii="Arial" w:eastAsia="Times New Roman" w:hAnsi="Arial" w:cs="Arial"/>
                      <w:b/>
                      <w:sz w:val="20"/>
                      <w:szCs w:val="20"/>
                      <w:lang w:eastAsia="tr-TR"/>
                    </w:rPr>
                  </w:pPr>
                  <w:proofErr w:type="gramStart"/>
                  <w:r w:rsidRPr="00B569D5">
                    <w:rPr>
                      <w:rFonts w:ascii="Arial" w:eastAsia="Times New Roman" w:hAnsi="Arial" w:cs="Arial"/>
                      <w:sz w:val="20"/>
                      <w:szCs w:val="20"/>
                      <w:lang w:eastAsia="tr-TR"/>
                    </w:rPr>
                    <w:t>Sayı : 28720</w:t>
                  </w:r>
                  <w:proofErr w:type="gramEnd"/>
                </w:p>
              </w:tc>
            </w:tr>
            <w:tr w:rsidR="00340A04" w:rsidRPr="00B569D5">
              <w:trPr>
                <w:trHeight w:val="480"/>
                <w:jc w:val="center"/>
              </w:trPr>
              <w:tc>
                <w:tcPr>
                  <w:tcW w:w="8789" w:type="dxa"/>
                  <w:gridSpan w:val="3"/>
                  <w:vAlign w:val="center"/>
                  <w:hideMark/>
                </w:tcPr>
                <w:p w:rsidR="00340A04" w:rsidRPr="00B569D5" w:rsidRDefault="00340A04" w:rsidP="00340A04">
                  <w:pPr>
                    <w:spacing w:before="100" w:beforeAutospacing="1" w:after="100" w:afterAutospacing="1" w:line="240" w:lineRule="auto"/>
                    <w:jc w:val="center"/>
                    <w:rPr>
                      <w:rFonts w:ascii="Arial" w:eastAsia="Times New Roman" w:hAnsi="Arial" w:cs="Arial"/>
                      <w:b/>
                      <w:color w:val="000080"/>
                      <w:sz w:val="20"/>
                      <w:szCs w:val="20"/>
                      <w:lang w:eastAsia="tr-TR"/>
                    </w:rPr>
                  </w:pPr>
                  <w:r w:rsidRPr="00B569D5">
                    <w:rPr>
                      <w:rFonts w:ascii="Arial" w:eastAsia="Times New Roman" w:hAnsi="Arial" w:cs="Arial"/>
                      <w:b/>
                      <w:color w:val="000080"/>
                      <w:sz w:val="20"/>
                      <w:szCs w:val="20"/>
                      <w:lang w:eastAsia="tr-TR"/>
                    </w:rPr>
                    <w:t>YÖNETMELİK</w:t>
                  </w:r>
                </w:p>
              </w:tc>
            </w:tr>
            <w:tr w:rsidR="00340A04" w:rsidRPr="00B569D5">
              <w:trPr>
                <w:trHeight w:val="480"/>
                <w:jc w:val="center"/>
              </w:trPr>
              <w:tc>
                <w:tcPr>
                  <w:tcW w:w="8789" w:type="dxa"/>
                  <w:gridSpan w:val="3"/>
                  <w:vAlign w:val="center"/>
                </w:tcPr>
                <w:p w:rsidR="00340A04" w:rsidRPr="00B569D5" w:rsidRDefault="00340A04" w:rsidP="00340A04">
                  <w:pPr>
                    <w:tabs>
                      <w:tab w:val="left" w:pos="566"/>
                    </w:tabs>
                    <w:spacing w:after="0" w:line="240" w:lineRule="exact"/>
                    <w:ind w:firstLine="566"/>
                    <w:rPr>
                      <w:rFonts w:ascii="Arial" w:eastAsia="ヒラギノ明朝 Pro W3" w:hAnsi="Arial" w:cs="Arial"/>
                      <w:sz w:val="20"/>
                      <w:szCs w:val="20"/>
                      <w:u w:val="single"/>
                    </w:rPr>
                  </w:pPr>
                  <w:r w:rsidRPr="00B569D5">
                    <w:rPr>
                      <w:rFonts w:ascii="Arial" w:eastAsia="ヒラギノ明朝 Pro W3" w:hAnsi="Arial" w:cs="Arial"/>
                      <w:sz w:val="20"/>
                      <w:szCs w:val="20"/>
                      <w:u w:val="single"/>
                    </w:rPr>
                    <w:t>Başbakanlık (Hazine Müsteşarlığı)’tan:</w:t>
                  </w:r>
                </w:p>
                <w:p w:rsidR="00340A04" w:rsidRPr="00B569D5" w:rsidRDefault="00340A04" w:rsidP="00340A04">
                  <w:pPr>
                    <w:spacing w:after="0" w:line="240" w:lineRule="exact"/>
                    <w:jc w:val="center"/>
                    <w:rPr>
                      <w:rFonts w:ascii="Arial" w:eastAsia="ヒラギノ明朝 Pro W3" w:hAnsi="Arial" w:cs="Arial"/>
                      <w:b/>
                      <w:sz w:val="20"/>
                      <w:szCs w:val="20"/>
                    </w:rPr>
                  </w:pPr>
                  <w:r w:rsidRPr="00B569D5">
                    <w:rPr>
                      <w:rFonts w:ascii="Arial" w:eastAsia="ヒラギノ明朝 Pro W3" w:hAnsi="Arial" w:cs="Arial"/>
                      <w:b/>
                      <w:sz w:val="20"/>
                      <w:szCs w:val="20"/>
                    </w:rPr>
                    <w:t>SİGORTACILIK VE ÖZEL EMEKLİLİK SEKTÖRLERİNİN GÖZETİM VE</w:t>
                  </w:r>
                </w:p>
                <w:p w:rsidR="00340A04" w:rsidRPr="00B569D5" w:rsidRDefault="00340A04" w:rsidP="00340A04">
                  <w:pPr>
                    <w:spacing w:after="0" w:line="240" w:lineRule="exact"/>
                    <w:jc w:val="center"/>
                    <w:rPr>
                      <w:rFonts w:ascii="Arial" w:eastAsia="ヒラギノ明朝 Pro W3" w:hAnsi="Arial" w:cs="Arial"/>
                      <w:b/>
                      <w:sz w:val="20"/>
                      <w:szCs w:val="20"/>
                    </w:rPr>
                  </w:pPr>
                  <w:r w:rsidRPr="00B569D5">
                    <w:rPr>
                      <w:rFonts w:ascii="Arial" w:eastAsia="ヒラギノ明朝 Pro W3" w:hAnsi="Arial" w:cs="Arial"/>
                      <w:b/>
                      <w:sz w:val="20"/>
                      <w:szCs w:val="20"/>
                    </w:rPr>
                    <w:t>DENETİMİNE İLİŞKİN USUL VE ESASLAR HAKKINDA</w:t>
                  </w:r>
                </w:p>
                <w:p w:rsidR="00340A04" w:rsidRPr="00B569D5" w:rsidRDefault="00340A04" w:rsidP="00340A04">
                  <w:pPr>
                    <w:spacing w:after="0" w:line="240" w:lineRule="exact"/>
                    <w:jc w:val="center"/>
                    <w:rPr>
                      <w:rFonts w:ascii="Arial" w:eastAsia="ヒラギノ明朝 Pro W3" w:hAnsi="Arial" w:cs="Arial"/>
                      <w:b/>
                      <w:sz w:val="20"/>
                      <w:szCs w:val="20"/>
                    </w:rPr>
                  </w:pPr>
                  <w:r w:rsidRPr="00B569D5">
                    <w:rPr>
                      <w:rFonts w:ascii="Arial" w:eastAsia="ヒラギノ明朝 Pro W3" w:hAnsi="Arial" w:cs="Arial"/>
                      <w:b/>
                      <w:sz w:val="20"/>
                      <w:szCs w:val="20"/>
                    </w:rPr>
                    <w:t>YÖNETMELİKTE DEĞİŞİKLİK YAPILMASINA</w:t>
                  </w:r>
                </w:p>
                <w:p w:rsidR="00340A04" w:rsidRPr="00B569D5" w:rsidRDefault="00340A04" w:rsidP="00340A04">
                  <w:pPr>
                    <w:spacing w:after="0" w:line="240" w:lineRule="exact"/>
                    <w:jc w:val="center"/>
                    <w:rPr>
                      <w:rFonts w:ascii="Arial" w:eastAsia="ヒラギノ明朝 Pro W3" w:hAnsi="Arial" w:cs="Arial"/>
                      <w:b/>
                      <w:sz w:val="20"/>
                      <w:szCs w:val="20"/>
                    </w:rPr>
                  </w:pPr>
                  <w:r w:rsidRPr="00B569D5">
                    <w:rPr>
                      <w:rFonts w:ascii="Arial" w:eastAsia="ヒラギノ明朝 Pro W3" w:hAnsi="Arial" w:cs="Arial"/>
                      <w:b/>
                      <w:sz w:val="20"/>
                      <w:szCs w:val="20"/>
                    </w:rPr>
                    <w:t>DAİR YÖNETMELİK</w:t>
                  </w:r>
                </w:p>
                <w:p w:rsidR="00340A04" w:rsidRPr="00B569D5" w:rsidRDefault="00340A04" w:rsidP="00340A04">
                  <w:pPr>
                    <w:tabs>
                      <w:tab w:val="left" w:pos="566"/>
                    </w:tabs>
                    <w:spacing w:after="0" w:line="240" w:lineRule="exact"/>
                    <w:ind w:firstLine="566"/>
                    <w:jc w:val="both"/>
                    <w:rPr>
                      <w:rFonts w:ascii="Arial" w:eastAsia="ヒラギノ明朝 Pro W3" w:hAnsi="Arial" w:cs="Arial"/>
                      <w:sz w:val="20"/>
                      <w:szCs w:val="20"/>
                    </w:rPr>
                  </w:pPr>
                  <w:r w:rsidRPr="00B569D5">
                    <w:rPr>
                      <w:rFonts w:ascii="Arial" w:eastAsia="ヒラギノ明朝 Pro W3" w:hAnsi="Arial" w:cs="Arial"/>
                      <w:b/>
                      <w:bCs/>
                      <w:noProof/>
                      <w:sz w:val="20"/>
                      <w:szCs w:val="20"/>
                    </w:rPr>
                    <w:t xml:space="preserve">MADDE 1 – </w:t>
                  </w:r>
                  <w:r w:rsidRPr="00B569D5">
                    <w:rPr>
                      <w:rFonts w:ascii="Arial" w:eastAsia="ヒラギノ明朝 Pro W3" w:hAnsi="Arial" w:cs="Arial"/>
                      <w:noProof/>
                      <w:sz w:val="20"/>
                      <w:szCs w:val="20"/>
                    </w:rPr>
                    <w:t>14/9/2011 tarihli ve 28054 sayılı Resmî Gazete’de yayımlanan Sigortacılık ve Özel Emeklilik Sektörlerinin Gözetim ve Denetimine İlişkin Usul ve Esaslar Hakkında Yönetmeliğin 4 üncü maddesinin birinci fıkrasının (y) bendi aşağıdaki şekilde değiştirilmiş ve aynı fıkraya aşağıdaki (aa),(bb) ve (cc) bentleri</w:t>
                  </w:r>
                  <w:r w:rsidRPr="00B569D5">
                    <w:rPr>
                      <w:rFonts w:ascii="Arial" w:eastAsia="ヒラギノ明朝 Pro W3" w:hAnsi="Arial" w:cs="Arial"/>
                      <w:sz w:val="20"/>
                      <w:szCs w:val="20"/>
                    </w:rPr>
                    <w:t xml:space="preserve"> eklenmiştir.</w:t>
                  </w:r>
                </w:p>
                <w:p w:rsidR="00340A04" w:rsidRPr="00B569D5" w:rsidRDefault="00340A04" w:rsidP="00340A04">
                  <w:pPr>
                    <w:tabs>
                      <w:tab w:val="left" w:pos="566"/>
                    </w:tabs>
                    <w:spacing w:after="0" w:line="240" w:lineRule="exact"/>
                    <w:ind w:firstLine="566"/>
                    <w:jc w:val="both"/>
                    <w:rPr>
                      <w:rFonts w:ascii="Arial" w:eastAsia="ヒラギノ明朝 Pro W3" w:hAnsi="Arial" w:cs="Arial"/>
                      <w:sz w:val="20"/>
                      <w:szCs w:val="20"/>
                    </w:rPr>
                  </w:pPr>
                  <w:r w:rsidRPr="00B569D5">
                    <w:rPr>
                      <w:rFonts w:ascii="Arial" w:eastAsia="ヒラギノ明朝 Pro W3" w:hAnsi="Arial" w:cs="Arial"/>
                      <w:sz w:val="20"/>
                      <w:szCs w:val="20"/>
                    </w:rPr>
                    <w:t xml:space="preserve">“y) Sigorta grubu: En az iki şirketten oluşan ve bunlardan en az birinin sigorta, </w:t>
                  </w:r>
                  <w:proofErr w:type="gramStart"/>
                  <w:r w:rsidRPr="00B569D5">
                    <w:rPr>
                      <w:rFonts w:ascii="Arial" w:eastAsia="ヒラギノ明朝 Pro W3" w:hAnsi="Arial" w:cs="Arial"/>
                      <w:sz w:val="20"/>
                      <w:szCs w:val="20"/>
                    </w:rPr>
                    <w:t>reasürans</w:t>
                  </w:r>
                  <w:proofErr w:type="gramEnd"/>
                  <w:r w:rsidRPr="00B569D5">
                    <w:rPr>
                      <w:rFonts w:ascii="Arial" w:eastAsia="ヒラギノ明朝 Pro W3" w:hAnsi="Arial" w:cs="Arial"/>
                      <w:sz w:val="20"/>
                      <w:szCs w:val="20"/>
                    </w:rPr>
                    <w:t xml:space="preserve"> veya emeklilik şirketi olduğu, diğerinin ise söz konusu sigorta, reasürans veya emeklilik şirketi üzerinde önemli etkinliğe sahip olduğu şirketler grubunu,”</w:t>
                  </w:r>
                </w:p>
                <w:p w:rsidR="00340A04" w:rsidRPr="00B569D5" w:rsidRDefault="00340A04" w:rsidP="00340A04">
                  <w:pPr>
                    <w:tabs>
                      <w:tab w:val="left" w:pos="566"/>
                    </w:tabs>
                    <w:spacing w:after="0" w:line="240" w:lineRule="exact"/>
                    <w:ind w:firstLine="566"/>
                    <w:jc w:val="both"/>
                    <w:rPr>
                      <w:rFonts w:ascii="Arial" w:eastAsia="ヒラギノ明朝 Pro W3" w:hAnsi="Arial" w:cs="Arial"/>
                      <w:noProof/>
                      <w:sz w:val="20"/>
                      <w:szCs w:val="20"/>
                    </w:rPr>
                  </w:pPr>
                  <w:r w:rsidRPr="00B569D5">
                    <w:rPr>
                      <w:rFonts w:ascii="Arial" w:eastAsia="ヒラギノ明朝 Pro W3" w:hAnsi="Arial" w:cs="Arial"/>
                      <w:noProof/>
                      <w:sz w:val="20"/>
                      <w:szCs w:val="20"/>
                    </w:rPr>
                    <w:t>“aa) Denetim forumu: Sigorta gruplarının ve içinde yer aldıkları finansal holdinglerin gözetim ve denetiminde etkinliğin sağlanması amacıyla ilgili sigorta gruplarının gözetim ve denetimine yetkili yurtiçi ve yurtdışı gözetim ve denetim otoritelerinin katılımı ile oluşturulan bilgi paylaşımı ve iletişim platformunu,”</w:t>
                  </w:r>
                </w:p>
                <w:p w:rsidR="00340A04" w:rsidRPr="00B569D5" w:rsidRDefault="00340A04" w:rsidP="00340A04">
                  <w:pPr>
                    <w:tabs>
                      <w:tab w:val="left" w:pos="566"/>
                    </w:tabs>
                    <w:spacing w:after="0" w:line="240" w:lineRule="exact"/>
                    <w:ind w:firstLine="566"/>
                    <w:jc w:val="both"/>
                    <w:rPr>
                      <w:rFonts w:ascii="Arial" w:eastAsia="ヒラギノ明朝 Pro W3" w:hAnsi="Arial" w:cs="Arial"/>
                      <w:noProof/>
                      <w:sz w:val="20"/>
                      <w:szCs w:val="20"/>
                    </w:rPr>
                  </w:pPr>
                  <w:r w:rsidRPr="00B569D5">
                    <w:rPr>
                      <w:rFonts w:ascii="Arial" w:eastAsia="ヒラギノ明朝 Pro W3" w:hAnsi="Arial" w:cs="Arial"/>
                      <w:noProof/>
                      <w:sz w:val="20"/>
                      <w:szCs w:val="20"/>
                    </w:rPr>
                    <w:t>“bb) Grup içi işlemler: Sigorta, reasürans ve emeklilik şirketlerinin, doğrudan veya dolaylı olarak aynı grup içinde yer alan şirketler ve diğer kuruluşlar ile bunlara kontrol veya iştirak ilişkisiyle bağlı olan diğer gerçek veya tüzel kişilerle gerçekleştirdikleri işlemleri,”</w:t>
                  </w:r>
                </w:p>
                <w:p w:rsidR="00340A04" w:rsidRPr="00B569D5" w:rsidRDefault="00340A04" w:rsidP="00340A04">
                  <w:pPr>
                    <w:tabs>
                      <w:tab w:val="left" w:pos="566"/>
                    </w:tabs>
                    <w:spacing w:after="0" w:line="240" w:lineRule="exact"/>
                    <w:ind w:firstLine="566"/>
                    <w:jc w:val="both"/>
                    <w:rPr>
                      <w:rFonts w:ascii="Arial" w:eastAsia="ヒラギノ明朝 Pro W3" w:hAnsi="Arial" w:cs="Arial"/>
                      <w:sz w:val="20"/>
                      <w:szCs w:val="20"/>
                    </w:rPr>
                  </w:pPr>
                  <w:r w:rsidRPr="00B569D5">
                    <w:rPr>
                      <w:rFonts w:ascii="Arial" w:eastAsia="ヒラギノ明朝 Pro W3" w:hAnsi="Arial" w:cs="Arial"/>
                      <w:noProof/>
                      <w:sz w:val="20"/>
                      <w:szCs w:val="20"/>
                    </w:rPr>
                    <w:t>“cc</w:t>
                  </w:r>
                  <w:r w:rsidRPr="00B569D5">
                    <w:rPr>
                      <w:rFonts w:ascii="Arial" w:eastAsia="ヒラギノ明朝 Pro W3" w:hAnsi="Arial" w:cs="Arial"/>
                      <w:sz w:val="20"/>
                      <w:szCs w:val="20"/>
                    </w:rPr>
                    <w:t>) Yetkili merciler: Sigortacılık, bankacılık ve sermaye piyasaları ile diğer finansal sektörlerin gözetim ve denetimine yetkili yurtiçi ve yurtdışı gözetim ve denetim otoritelerini, kara para aklamanın ve terörizmin finansmanın önlenmesi ile ilgili kuruluşları ve adli makamları,”</w:t>
                  </w:r>
                </w:p>
                <w:p w:rsidR="00340A04" w:rsidRPr="00B569D5" w:rsidRDefault="00340A04" w:rsidP="00340A04">
                  <w:pPr>
                    <w:tabs>
                      <w:tab w:val="left" w:pos="566"/>
                    </w:tabs>
                    <w:spacing w:after="0" w:line="240" w:lineRule="exact"/>
                    <w:ind w:firstLine="566"/>
                    <w:jc w:val="both"/>
                    <w:rPr>
                      <w:rFonts w:ascii="Arial" w:eastAsia="ヒラギノ明朝 Pro W3" w:hAnsi="Arial" w:cs="Arial"/>
                      <w:sz w:val="20"/>
                      <w:szCs w:val="20"/>
                    </w:rPr>
                  </w:pPr>
                  <w:r w:rsidRPr="00B569D5">
                    <w:rPr>
                      <w:rFonts w:ascii="Arial" w:eastAsia="ヒラギノ明朝 Pro W3" w:hAnsi="Arial" w:cs="Arial"/>
                      <w:b/>
                      <w:sz w:val="20"/>
                      <w:szCs w:val="20"/>
                    </w:rPr>
                    <w:t xml:space="preserve">MADDE 2 – </w:t>
                  </w:r>
                  <w:r w:rsidRPr="00B569D5">
                    <w:rPr>
                      <w:rFonts w:ascii="Arial" w:eastAsia="ヒラギノ明朝 Pro W3" w:hAnsi="Arial" w:cs="Arial"/>
                      <w:sz w:val="20"/>
                      <w:szCs w:val="20"/>
                    </w:rPr>
                    <w:t xml:space="preserve">Aynı Yönetmeliğin 32 </w:t>
                  </w:r>
                  <w:proofErr w:type="spellStart"/>
                  <w:r w:rsidRPr="00B569D5">
                    <w:rPr>
                      <w:rFonts w:ascii="Arial" w:eastAsia="ヒラギノ明朝 Pro W3" w:hAnsi="Arial" w:cs="Arial"/>
                      <w:sz w:val="20"/>
                      <w:szCs w:val="20"/>
                    </w:rPr>
                    <w:t>nci</w:t>
                  </w:r>
                  <w:proofErr w:type="spellEnd"/>
                  <w:r w:rsidRPr="00B569D5">
                    <w:rPr>
                      <w:rFonts w:ascii="Arial" w:eastAsia="ヒラギノ明朝 Pro W3" w:hAnsi="Arial" w:cs="Arial"/>
                      <w:sz w:val="20"/>
                      <w:szCs w:val="20"/>
                    </w:rPr>
                    <w:t xml:space="preserve"> maddesi başlığıyla birlikte aşağıdaki şekilde değiştirilmiştir.</w:t>
                  </w:r>
                </w:p>
                <w:p w:rsidR="00340A04" w:rsidRPr="00B569D5" w:rsidRDefault="00340A04" w:rsidP="00340A04">
                  <w:pPr>
                    <w:tabs>
                      <w:tab w:val="left" w:pos="566"/>
                    </w:tabs>
                    <w:spacing w:after="0" w:line="240" w:lineRule="exact"/>
                    <w:ind w:firstLine="566"/>
                    <w:jc w:val="both"/>
                    <w:rPr>
                      <w:rFonts w:ascii="Arial" w:eastAsia="ヒラギノ明朝 Pro W3" w:hAnsi="Arial" w:cs="Arial"/>
                      <w:b/>
                      <w:sz w:val="20"/>
                      <w:szCs w:val="20"/>
                    </w:rPr>
                  </w:pPr>
                  <w:r w:rsidRPr="00B569D5">
                    <w:rPr>
                      <w:rFonts w:ascii="Arial" w:eastAsia="ヒラギノ明朝 Pro W3" w:hAnsi="Arial" w:cs="Arial"/>
                      <w:b/>
                      <w:sz w:val="20"/>
                      <w:szCs w:val="20"/>
                    </w:rPr>
                    <w:t>“Bilgi paylaşımı ve işbirliği</w:t>
                  </w:r>
                </w:p>
                <w:p w:rsidR="00340A04" w:rsidRPr="00B569D5" w:rsidRDefault="00340A04" w:rsidP="00340A04">
                  <w:pPr>
                    <w:tabs>
                      <w:tab w:val="left" w:pos="566"/>
                    </w:tabs>
                    <w:spacing w:after="0" w:line="240" w:lineRule="exact"/>
                    <w:ind w:firstLine="566"/>
                    <w:jc w:val="both"/>
                    <w:rPr>
                      <w:rFonts w:ascii="Arial" w:eastAsia="ヒラギノ明朝 Pro W3" w:hAnsi="Arial" w:cs="Arial"/>
                      <w:sz w:val="20"/>
                      <w:szCs w:val="20"/>
                    </w:rPr>
                  </w:pPr>
                  <w:r w:rsidRPr="00B569D5">
                    <w:rPr>
                      <w:rFonts w:ascii="Arial" w:eastAsia="ヒラギノ明朝 Pro W3" w:hAnsi="Arial" w:cs="Arial"/>
                      <w:b/>
                      <w:noProof/>
                      <w:sz w:val="20"/>
                      <w:szCs w:val="20"/>
                    </w:rPr>
                    <w:t>MADDE 32 –</w:t>
                  </w:r>
                  <w:r w:rsidRPr="00B569D5">
                    <w:rPr>
                      <w:rFonts w:ascii="Arial" w:eastAsia="ヒラギノ明朝 Pro W3" w:hAnsi="Arial" w:cs="Arial"/>
                      <w:noProof/>
                      <w:sz w:val="20"/>
                      <w:szCs w:val="20"/>
                    </w:rPr>
                    <w:t xml:space="preserve"> (1) Müsteşarlık, sigortacılık ve özel emeklilik sektörlerinin gözetim ve denetiminde etkinliğin sağlanabilmesi ve sınır ötesi faaliyetler ile sistemik risklerin sektöre etkisinin izlenebilmesi amacıyla yurtiçi ve yurtdışındaki muadil gözetim ve denetim otoriteleri ve uluslararası kuruluşlar ile işbirliği yapabilir, ortak denetim ve bilgi paylaşımına ilişkin anlaşmalara taraf olabilir, uygun bir şekilde talep edilmesi kaydıyla bilgi alışverişinde bulunabilir, ortak denetim forumları oluşturabilir ve uluslararası denetim forumlarına katılabilir. Bilgi paylaşımının kapsamı sigorta, reasürans ve emeklilik şirketleri ile sigorta gruplarını içerir. Bir sigorta grubunda yer alan, ancak sigorta, reasürans</w:t>
                  </w:r>
                  <w:r w:rsidRPr="00B569D5">
                    <w:rPr>
                      <w:rFonts w:ascii="Arial" w:eastAsia="ヒラギノ明朝 Pro W3" w:hAnsi="Arial" w:cs="Arial"/>
                      <w:sz w:val="20"/>
                      <w:szCs w:val="20"/>
                    </w:rPr>
                    <w:t xml:space="preserve"> veya emeklilik şirketi olmayan şirketlere ilişkin bilgi paylaşımı, söz konusu şirketlerin grup içindeki sigorta, </w:t>
                  </w:r>
                  <w:proofErr w:type="gramStart"/>
                  <w:r w:rsidRPr="00B569D5">
                    <w:rPr>
                      <w:rFonts w:ascii="Arial" w:eastAsia="ヒラギノ明朝 Pro W3" w:hAnsi="Arial" w:cs="Arial"/>
                      <w:sz w:val="20"/>
                      <w:szCs w:val="20"/>
                    </w:rPr>
                    <w:t>reasürans</w:t>
                  </w:r>
                  <w:proofErr w:type="gramEnd"/>
                  <w:r w:rsidRPr="00B569D5">
                    <w:rPr>
                      <w:rFonts w:ascii="Arial" w:eastAsia="ヒラギノ明朝 Pro W3" w:hAnsi="Arial" w:cs="Arial"/>
                      <w:sz w:val="20"/>
                      <w:szCs w:val="20"/>
                    </w:rPr>
                    <w:t xml:space="preserve"> veya emeklilik şirketleriyle gerçekleştirdikleri iş ve işlemleri kapsar.</w:t>
                  </w:r>
                </w:p>
                <w:p w:rsidR="00340A04" w:rsidRPr="00B569D5" w:rsidRDefault="00340A04" w:rsidP="00340A04">
                  <w:pPr>
                    <w:tabs>
                      <w:tab w:val="left" w:pos="566"/>
                    </w:tabs>
                    <w:spacing w:after="0" w:line="240" w:lineRule="exact"/>
                    <w:ind w:firstLine="566"/>
                    <w:jc w:val="both"/>
                    <w:rPr>
                      <w:rFonts w:ascii="Arial" w:eastAsia="ヒラギノ明朝 Pro W3" w:hAnsi="Arial" w:cs="Arial"/>
                      <w:sz w:val="20"/>
                      <w:szCs w:val="20"/>
                    </w:rPr>
                  </w:pPr>
                  <w:r w:rsidRPr="00B569D5">
                    <w:rPr>
                      <w:rFonts w:ascii="Arial" w:eastAsia="ヒラギノ明朝 Pro W3" w:hAnsi="Arial" w:cs="Arial"/>
                      <w:sz w:val="20"/>
                      <w:szCs w:val="20"/>
                    </w:rPr>
                    <w:t>(2) Müsteşarlık, bilgi gizliliğinin sağlanması kaydıyla, bilginin düzenleme ve denetime ilişkin geçerli bir amaç ve haklı bir menfaat kapsamında talep edilmesi ve kullanılmasına ilişkin gerekli tedbirleri alır; talep edilen bilgilerin kısa süre içinde ve yeterli düzeyde paylaşılmasını sağlar. Müsteşarlık, yurtiçi ve yurtdışı gözetim ve denetim otoriteleri ile uluslararası kuruluşlardan gelen bilgi taleplerini münferit olarak değerlendirebilir.</w:t>
                  </w:r>
                </w:p>
                <w:p w:rsidR="00340A04" w:rsidRPr="00B569D5" w:rsidRDefault="00340A04" w:rsidP="00340A04">
                  <w:pPr>
                    <w:tabs>
                      <w:tab w:val="left" w:pos="566"/>
                    </w:tabs>
                    <w:spacing w:after="0" w:line="240" w:lineRule="exact"/>
                    <w:ind w:firstLine="566"/>
                    <w:jc w:val="both"/>
                    <w:rPr>
                      <w:rFonts w:ascii="Arial" w:eastAsia="ヒラギノ明朝 Pro W3" w:hAnsi="Arial" w:cs="Arial"/>
                      <w:sz w:val="20"/>
                      <w:szCs w:val="20"/>
                    </w:rPr>
                  </w:pPr>
                  <w:r w:rsidRPr="00B569D5">
                    <w:rPr>
                      <w:rFonts w:ascii="Arial" w:eastAsia="ヒラギノ明朝 Pro W3" w:hAnsi="Arial" w:cs="Arial"/>
                      <w:sz w:val="20"/>
                      <w:szCs w:val="20"/>
                    </w:rPr>
                    <w:t>(3) Müsteşarlığın bilgi paylaşımına esas teşkil edecek amaçlar aşağıdaki konularla sınırlıdır;</w:t>
                  </w:r>
                </w:p>
                <w:p w:rsidR="00340A04" w:rsidRPr="00B569D5" w:rsidRDefault="00340A04" w:rsidP="00340A04">
                  <w:pPr>
                    <w:tabs>
                      <w:tab w:val="left" w:pos="566"/>
                    </w:tabs>
                    <w:spacing w:after="0" w:line="240" w:lineRule="exact"/>
                    <w:ind w:firstLine="566"/>
                    <w:jc w:val="both"/>
                    <w:rPr>
                      <w:rFonts w:ascii="Arial" w:eastAsia="ヒラギノ明朝 Pro W3" w:hAnsi="Arial" w:cs="Arial"/>
                      <w:sz w:val="20"/>
                      <w:szCs w:val="20"/>
                    </w:rPr>
                  </w:pPr>
                  <w:r w:rsidRPr="00B569D5">
                    <w:rPr>
                      <w:rFonts w:ascii="Arial" w:eastAsia="ヒラギノ明朝 Pro W3" w:hAnsi="Arial" w:cs="Arial"/>
                      <w:sz w:val="20"/>
                      <w:szCs w:val="20"/>
                    </w:rPr>
                    <w:t>a) Ruhsat talepleri,</w:t>
                  </w:r>
                </w:p>
                <w:p w:rsidR="00340A04" w:rsidRPr="00B569D5" w:rsidRDefault="00340A04" w:rsidP="00340A04">
                  <w:pPr>
                    <w:tabs>
                      <w:tab w:val="left" w:pos="566"/>
                    </w:tabs>
                    <w:spacing w:after="0" w:line="240" w:lineRule="exact"/>
                    <w:ind w:firstLine="566"/>
                    <w:jc w:val="both"/>
                    <w:rPr>
                      <w:rFonts w:ascii="Arial" w:eastAsia="ヒラギノ明朝 Pro W3" w:hAnsi="Arial" w:cs="Arial"/>
                      <w:sz w:val="20"/>
                      <w:szCs w:val="20"/>
                    </w:rPr>
                  </w:pPr>
                  <w:r w:rsidRPr="00B569D5">
                    <w:rPr>
                      <w:rFonts w:ascii="Arial" w:eastAsia="ヒラギノ明朝 Pro W3" w:hAnsi="Arial" w:cs="Arial"/>
                      <w:sz w:val="20"/>
                      <w:szCs w:val="20"/>
                    </w:rPr>
                    <w:t>b) Yönetim ve kişilerin uygunluğu,</w:t>
                  </w:r>
                </w:p>
                <w:p w:rsidR="00340A04" w:rsidRPr="00B569D5" w:rsidRDefault="00340A04" w:rsidP="00340A04">
                  <w:pPr>
                    <w:tabs>
                      <w:tab w:val="left" w:pos="566"/>
                    </w:tabs>
                    <w:spacing w:after="0" w:line="240" w:lineRule="exact"/>
                    <w:ind w:firstLine="566"/>
                    <w:jc w:val="both"/>
                    <w:rPr>
                      <w:rFonts w:ascii="Arial" w:eastAsia="ヒラギノ明朝 Pro W3" w:hAnsi="Arial" w:cs="Arial"/>
                      <w:sz w:val="20"/>
                      <w:szCs w:val="20"/>
                    </w:rPr>
                  </w:pPr>
                  <w:r w:rsidRPr="00B569D5">
                    <w:rPr>
                      <w:rFonts w:ascii="Arial" w:eastAsia="ヒラギノ明朝 Pro W3" w:hAnsi="Arial" w:cs="Arial"/>
                      <w:sz w:val="20"/>
                      <w:szCs w:val="20"/>
                    </w:rPr>
                    <w:t xml:space="preserve">c) Gözetim ve denetim faaliyetleri (iç denetim </w:t>
                  </w:r>
                  <w:proofErr w:type="gramStart"/>
                  <w:r w:rsidRPr="00B569D5">
                    <w:rPr>
                      <w:rFonts w:ascii="Arial" w:eastAsia="ヒラギノ明朝 Pro W3" w:hAnsi="Arial" w:cs="Arial"/>
                      <w:sz w:val="20"/>
                      <w:szCs w:val="20"/>
                    </w:rPr>
                    <w:t>dahil</w:t>
                  </w:r>
                  <w:proofErr w:type="gramEnd"/>
                  <w:r w:rsidRPr="00B569D5">
                    <w:rPr>
                      <w:rFonts w:ascii="Arial" w:eastAsia="ヒラギノ明朝 Pro W3" w:hAnsi="Arial" w:cs="Arial"/>
                      <w:sz w:val="20"/>
                      <w:szCs w:val="20"/>
                    </w:rPr>
                    <w:t>),</w:t>
                  </w:r>
                </w:p>
                <w:p w:rsidR="00340A04" w:rsidRPr="00B569D5" w:rsidRDefault="00340A04" w:rsidP="00340A04">
                  <w:pPr>
                    <w:tabs>
                      <w:tab w:val="left" w:pos="566"/>
                    </w:tabs>
                    <w:spacing w:after="0" w:line="240" w:lineRule="exact"/>
                    <w:ind w:firstLine="566"/>
                    <w:jc w:val="both"/>
                    <w:rPr>
                      <w:rFonts w:ascii="Arial" w:eastAsia="ヒラギノ明朝 Pro W3" w:hAnsi="Arial" w:cs="Arial"/>
                      <w:sz w:val="20"/>
                      <w:szCs w:val="20"/>
                    </w:rPr>
                  </w:pPr>
                  <w:r w:rsidRPr="00B569D5">
                    <w:rPr>
                      <w:rFonts w:ascii="Arial" w:eastAsia="ヒラギノ明朝 Pro W3" w:hAnsi="Arial" w:cs="Arial"/>
                      <w:sz w:val="20"/>
                      <w:szCs w:val="20"/>
                    </w:rPr>
                    <w:t>ç) Önlem alma ve yaptırım uygulamaları (idari ve adli yaptırımlar),</w:t>
                  </w:r>
                </w:p>
                <w:p w:rsidR="00340A04" w:rsidRPr="00B569D5" w:rsidRDefault="00340A04" w:rsidP="00340A04">
                  <w:pPr>
                    <w:tabs>
                      <w:tab w:val="left" w:pos="566"/>
                    </w:tabs>
                    <w:spacing w:after="0" w:line="240" w:lineRule="exact"/>
                    <w:ind w:firstLine="566"/>
                    <w:jc w:val="both"/>
                    <w:rPr>
                      <w:rFonts w:ascii="Arial" w:eastAsia="ヒラギノ明朝 Pro W3" w:hAnsi="Arial" w:cs="Arial"/>
                      <w:sz w:val="20"/>
                      <w:szCs w:val="20"/>
                    </w:rPr>
                  </w:pPr>
                  <w:r w:rsidRPr="00B569D5">
                    <w:rPr>
                      <w:rFonts w:ascii="Arial" w:eastAsia="ヒラギノ明朝 Pro W3" w:hAnsi="Arial" w:cs="Arial"/>
                      <w:sz w:val="20"/>
                      <w:szCs w:val="20"/>
                    </w:rPr>
                    <w:t>d) Faaliyetin durdurulması, ruhsat iptali, tasfiye veya iflas,</w:t>
                  </w:r>
                </w:p>
                <w:p w:rsidR="00340A04" w:rsidRPr="00B569D5" w:rsidRDefault="00340A04" w:rsidP="00340A04">
                  <w:pPr>
                    <w:tabs>
                      <w:tab w:val="left" w:pos="566"/>
                    </w:tabs>
                    <w:spacing w:after="0" w:line="240" w:lineRule="exact"/>
                    <w:ind w:firstLine="566"/>
                    <w:jc w:val="both"/>
                    <w:rPr>
                      <w:rFonts w:ascii="Arial" w:eastAsia="ヒラギノ明朝 Pro W3" w:hAnsi="Arial" w:cs="Arial"/>
                      <w:sz w:val="20"/>
                      <w:szCs w:val="20"/>
                    </w:rPr>
                  </w:pPr>
                  <w:r w:rsidRPr="00B569D5">
                    <w:rPr>
                      <w:rFonts w:ascii="Arial" w:eastAsia="ヒラギノ明朝 Pro W3" w:hAnsi="Arial" w:cs="Arial"/>
                      <w:sz w:val="20"/>
                      <w:szCs w:val="20"/>
                    </w:rPr>
                    <w:t>e) Yanlış sigorta uygulamaları, kara para aklama ve terörizmin finansmanının önlenmesi,</w:t>
                  </w:r>
                </w:p>
                <w:p w:rsidR="00340A04" w:rsidRPr="00B569D5" w:rsidRDefault="00340A04" w:rsidP="00340A04">
                  <w:pPr>
                    <w:tabs>
                      <w:tab w:val="left" w:pos="566"/>
                    </w:tabs>
                    <w:spacing w:after="0" w:line="240" w:lineRule="exact"/>
                    <w:ind w:firstLine="566"/>
                    <w:jc w:val="both"/>
                    <w:rPr>
                      <w:rFonts w:ascii="Arial" w:eastAsia="ヒラギノ明朝 Pro W3" w:hAnsi="Arial" w:cs="Arial"/>
                      <w:sz w:val="20"/>
                      <w:szCs w:val="20"/>
                    </w:rPr>
                  </w:pPr>
                  <w:r w:rsidRPr="00B569D5">
                    <w:rPr>
                      <w:rFonts w:ascii="Arial" w:eastAsia="ヒラギノ明朝 Pro W3" w:hAnsi="Arial" w:cs="Arial"/>
                      <w:sz w:val="20"/>
                      <w:szCs w:val="20"/>
                    </w:rPr>
                    <w:t>f) Grup içi işlemler,</w:t>
                  </w:r>
                </w:p>
                <w:p w:rsidR="00340A04" w:rsidRPr="00B569D5" w:rsidRDefault="00340A04" w:rsidP="00340A04">
                  <w:pPr>
                    <w:tabs>
                      <w:tab w:val="left" w:pos="566"/>
                    </w:tabs>
                    <w:spacing w:after="0" w:line="240" w:lineRule="exact"/>
                    <w:ind w:firstLine="566"/>
                    <w:jc w:val="both"/>
                    <w:rPr>
                      <w:rFonts w:ascii="Arial" w:eastAsia="ヒラギノ明朝 Pro W3" w:hAnsi="Arial" w:cs="Arial"/>
                      <w:sz w:val="20"/>
                      <w:szCs w:val="20"/>
                    </w:rPr>
                  </w:pPr>
                  <w:r w:rsidRPr="00B569D5">
                    <w:rPr>
                      <w:rFonts w:ascii="Arial" w:eastAsia="ヒラギノ明朝 Pro W3" w:hAnsi="Arial" w:cs="Arial"/>
                      <w:sz w:val="20"/>
                      <w:szCs w:val="20"/>
                    </w:rPr>
                    <w:t>g) Mali bünyeye ilişkin diğer hususlar.</w:t>
                  </w:r>
                </w:p>
                <w:p w:rsidR="00340A04" w:rsidRPr="00B569D5" w:rsidRDefault="00340A04" w:rsidP="00340A04">
                  <w:pPr>
                    <w:tabs>
                      <w:tab w:val="left" w:pos="566"/>
                    </w:tabs>
                    <w:spacing w:after="0" w:line="240" w:lineRule="exact"/>
                    <w:ind w:firstLine="566"/>
                    <w:jc w:val="both"/>
                    <w:rPr>
                      <w:rFonts w:ascii="Arial" w:eastAsia="ヒラギノ明朝 Pro W3" w:hAnsi="Arial" w:cs="Arial"/>
                      <w:sz w:val="20"/>
                      <w:szCs w:val="20"/>
                    </w:rPr>
                  </w:pPr>
                  <w:r w:rsidRPr="00B569D5">
                    <w:rPr>
                      <w:rFonts w:ascii="Arial" w:eastAsia="ヒラギノ明朝 Pro W3" w:hAnsi="Arial" w:cs="Arial"/>
                      <w:sz w:val="20"/>
                      <w:szCs w:val="20"/>
                    </w:rPr>
                    <w:t>(4) Müsteşarlık, bilgi paylaşımı kapsamında elde edilen bilgiyi diğer yetkili merciler ile gözetim ve denetim otoriteleri ile paylaşabilmek veya talep edilme amacı dışında kullanabilmek ya da elde edilen bilgileri kullanarak şirket hakkında işlem yapabilmek için bilgi temin edilen gözetim ve denetim otoritesinin onayını alır.</w:t>
                  </w:r>
                </w:p>
                <w:p w:rsidR="00340A04" w:rsidRPr="00B569D5" w:rsidRDefault="00340A04" w:rsidP="00340A04">
                  <w:pPr>
                    <w:tabs>
                      <w:tab w:val="left" w:pos="566"/>
                    </w:tabs>
                    <w:spacing w:after="0" w:line="240" w:lineRule="exact"/>
                    <w:ind w:firstLine="566"/>
                    <w:jc w:val="both"/>
                    <w:rPr>
                      <w:rFonts w:ascii="Arial" w:eastAsia="ヒラギノ明朝 Pro W3" w:hAnsi="Arial" w:cs="Arial"/>
                      <w:sz w:val="20"/>
                      <w:szCs w:val="20"/>
                    </w:rPr>
                  </w:pPr>
                  <w:r w:rsidRPr="00B569D5">
                    <w:rPr>
                      <w:rFonts w:ascii="Arial" w:eastAsia="ヒラギノ明朝 Pro W3" w:hAnsi="Arial" w:cs="Arial"/>
                      <w:sz w:val="20"/>
                      <w:szCs w:val="20"/>
                    </w:rPr>
                    <w:lastRenderedPageBreak/>
                    <w:t>(5) Müsteşarlık, bilgi paylaşımı kapsamında elde edilen gizli bilgilerin yetkili mercilerle paylaşılmasının gerekli olduğu durumlarda, gizliliğe ilişkin gerekli tedbirlerin alınması ve bilginin elde edilme amacına uygun olarak kullanılmasını sağlamak kaydıyla, bilgi temin edilen gözetim ve denetim otoritesine durumu bildirir ve bilgi paylaşımına ilişkin onayını talep eder. Bilgi temin edilen gözetim ve denetim otoritesinin gizli bilginin paylaşılmasına onay vermediği durumlarda Müsteşarlık, elde edilen bilginin kendi içinde muhafaza edilmesi için gerekli tedbirleri alır.</w:t>
                  </w:r>
                </w:p>
                <w:p w:rsidR="00340A04" w:rsidRPr="00B569D5" w:rsidRDefault="00340A04" w:rsidP="00340A04">
                  <w:pPr>
                    <w:tabs>
                      <w:tab w:val="left" w:pos="566"/>
                    </w:tabs>
                    <w:spacing w:after="0" w:line="240" w:lineRule="exact"/>
                    <w:ind w:firstLine="566"/>
                    <w:jc w:val="both"/>
                    <w:rPr>
                      <w:rFonts w:ascii="Arial" w:eastAsia="ヒラギノ明朝 Pro W3" w:hAnsi="Arial" w:cs="Arial"/>
                      <w:sz w:val="20"/>
                      <w:szCs w:val="20"/>
                    </w:rPr>
                  </w:pPr>
                  <w:r w:rsidRPr="00B569D5">
                    <w:rPr>
                      <w:rFonts w:ascii="Arial" w:eastAsia="ヒラギノ明朝 Pro W3" w:hAnsi="Arial" w:cs="Arial"/>
                      <w:sz w:val="20"/>
                      <w:szCs w:val="20"/>
                    </w:rPr>
                    <w:t>(6) Müsteşarlık yurtiçi ve yurtdışındaki sigorta grupları ve finansal holdingler ile şirketleri önemli ölçüde etkileyebilecek kararlar hakkında ilgili gözetim ve denetim otoritelerini bilgilendirir.</w:t>
                  </w:r>
                </w:p>
                <w:p w:rsidR="00340A04" w:rsidRPr="00B569D5" w:rsidRDefault="00340A04" w:rsidP="00340A04">
                  <w:pPr>
                    <w:tabs>
                      <w:tab w:val="left" w:pos="566"/>
                    </w:tabs>
                    <w:spacing w:after="0" w:line="240" w:lineRule="exact"/>
                    <w:ind w:firstLine="566"/>
                    <w:jc w:val="both"/>
                    <w:rPr>
                      <w:rFonts w:ascii="Arial" w:eastAsia="ヒラギノ明朝 Pro W3" w:hAnsi="Arial" w:cs="Arial"/>
                      <w:sz w:val="20"/>
                      <w:szCs w:val="20"/>
                    </w:rPr>
                  </w:pPr>
                  <w:r w:rsidRPr="00B569D5">
                    <w:rPr>
                      <w:rFonts w:ascii="Arial" w:eastAsia="ヒラギノ明朝 Pro W3" w:hAnsi="Arial" w:cs="Arial"/>
                      <w:sz w:val="20"/>
                      <w:szCs w:val="20"/>
                    </w:rPr>
                    <w:t>(7) Müsteşarlık, grup risklerinin değerlendirilmesi ve denetiminden sorumlu otorite olduğu durumlarda, yurtiçi ve yurtdışı gözetim ve denetim otoriteleri ile işbirliği ve koordinasyonu sağlamak üzere gerekli işlemleri yürütmeye yetkilidir.”</w:t>
                  </w:r>
                </w:p>
                <w:p w:rsidR="00340A04" w:rsidRPr="00B569D5" w:rsidRDefault="00340A04" w:rsidP="00340A04">
                  <w:pPr>
                    <w:tabs>
                      <w:tab w:val="left" w:pos="566"/>
                    </w:tabs>
                    <w:spacing w:after="0" w:line="240" w:lineRule="exact"/>
                    <w:ind w:firstLine="566"/>
                    <w:jc w:val="both"/>
                    <w:rPr>
                      <w:rFonts w:ascii="Arial" w:eastAsia="ヒラギノ明朝 Pro W3" w:hAnsi="Arial" w:cs="Arial"/>
                      <w:sz w:val="20"/>
                      <w:szCs w:val="20"/>
                    </w:rPr>
                  </w:pPr>
                  <w:r w:rsidRPr="00B569D5">
                    <w:rPr>
                      <w:rFonts w:ascii="Arial" w:eastAsia="ヒラギノ明朝 Pro W3" w:hAnsi="Arial" w:cs="Arial"/>
                      <w:b/>
                      <w:sz w:val="20"/>
                      <w:szCs w:val="20"/>
                    </w:rPr>
                    <w:t xml:space="preserve">MADDE 3 – </w:t>
                  </w:r>
                  <w:r w:rsidRPr="00B569D5">
                    <w:rPr>
                      <w:rFonts w:ascii="Arial" w:eastAsia="ヒラギノ明朝 Pro W3" w:hAnsi="Arial" w:cs="Arial"/>
                      <w:sz w:val="20"/>
                      <w:szCs w:val="20"/>
                    </w:rPr>
                    <w:t>Bu Yönetmelik yayımı tarihinde yürürlüğe girer.</w:t>
                  </w:r>
                </w:p>
                <w:p w:rsidR="00340A04" w:rsidRPr="00B569D5" w:rsidRDefault="00340A04" w:rsidP="00340A04">
                  <w:pPr>
                    <w:tabs>
                      <w:tab w:val="left" w:pos="566"/>
                    </w:tabs>
                    <w:spacing w:after="0" w:line="240" w:lineRule="exact"/>
                    <w:ind w:firstLine="566"/>
                    <w:jc w:val="both"/>
                    <w:rPr>
                      <w:rFonts w:ascii="Arial" w:eastAsia="ヒラギノ明朝 Pro W3" w:hAnsi="Arial" w:cs="Arial"/>
                      <w:sz w:val="20"/>
                      <w:szCs w:val="20"/>
                    </w:rPr>
                  </w:pPr>
                  <w:r w:rsidRPr="00B569D5">
                    <w:rPr>
                      <w:rFonts w:ascii="Arial" w:eastAsia="ヒラギノ明朝 Pro W3" w:hAnsi="Arial" w:cs="Arial"/>
                      <w:b/>
                      <w:sz w:val="20"/>
                      <w:szCs w:val="20"/>
                    </w:rPr>
                    <w:t>MADDE 4 –</w:t>
                  </w:r>
                  <w:r w:rsidRPr="00B569D5">
                    <w:rPr>
                      <w:rFonts w:ascii="Arial" w:eastAsia="ヒラギノ明朝 Pro W3" w:hAnsi="Arial" w:cs="Arial"/>
                      <w:sz w:val="20"/>
                      <w:szCs w:val="20"/>
                    </w:rPr>
                    <w:t xml:space="preserve"> Bu Yönetmelik hükümlerini Hazine Müsteşarlığının bağlı olduğu Bakan yürütür.</w:t>
                  </w:r>
                </w:p>
                <w:p w:rsidR="00340A04" w:rsidRPr="00B569D5" w:rsidRDefault="00340A04" w:rsidP="00340A04">
                  <w:pPr>
                    <w:tabs>
                      <w:tab w:val="left" w:pos="566"/>
                    </w:tabs>
                    <w:spacing w:after="0" w:line="240" w:lineRule="exact"/>
                    <w:jc w:val="center"/>
                    <w:rPr>
                      <w:rFonts w:ascii="Arial" w:eastAsia="ヒラギノ明朝 Pro W3" w:hAnsi="Arial" w:cs="Arial"/>
                      <w:sz w:val="2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4"/>
                    <w:gridCol w:w="4251"/>
                  </w:tblGrid>
                  <w:tr w:rsidR="00340A04" w:rsidRPr="00B569D5">
                    <w:trPr>
                      <w:jc w:val="center"/>
                    </w:trPr>
                    <w:tc>
                      <w:tcPr>
                        <w:tcW w:w="8505" w:type="dxa"/>
                        <w:gridSpan w:val="2"/>
                        <w:tcBorders>
                          <w:top w:val="single" w:sz="4" w:space="0" w:color="auto"/>
                          <w:left w:val="single" w:sz="4" w:space="0" w:color="auto"/>
                          <w:bottom w:val="nil"/>
                          <w:right w:val="single" w:sz="4" w:space="0" w:color="auto"/>
                        </w:tcBorders>
                        <w:hideMark/>
                      </w:tcPr>
                      <w:p w:rsidR="00340A04" w:rsidRPr="00B569D5" w:rsidRDefault="00340A04" w:rsidP="00340A04">
                        <w:pPr>
                          <w:tabs>
                            <w:tab w:val="left" w:pos="566"/>
                          </w:tabs>
                          <w:spacing w:after="0" w:line="240" w:lineRule="exact"/>
                          <w:jc w:val="center"/>
                          <w:rPr>
                            <w:rFonts w:ascii="Arial" w:eastAsia="ヒラギノ明朝 Pro W3" w:hAnsi="Arial" w:cs="Arial"/>
                            <w:b/>
                            <w:sz w:val="20"/>
                            <w:szCs w:val="20"/>
                          </w:rPr>
                        </w:pPr>
                        <w:r w:rsidRPr="00B569D5">
                          <w:rPr>
                            <w:rFonts w:ascii="Arial" w:eastAsia="ヒラギノ明朝 Pro W3" w:hAnsi="Arial" w:cs="Arial"/>
                            <w:b/>
                            <w:sz w:val="20"/>
                            <w:szCs w:val="20"/>
                          </w:rPr>
                          <w:t>Yönetmeliğin Yayımlandığı Resmî Gazete'nin</w:t>
                        </w:r>
                      </w:p>
                    </w:tc>
                  </w:tr>
                  <w:tr w:rsidR="00340A04" w:rsidRPr="00B569D5">
                    <w:trPr>
                      <w:jc w:val="center"/>
                    </w:trPr>
                    <w:tc>
                      <w:tcPr>
                        <w:tcW w:w="4254" w:type="dxa"/>
                        <w:tcBorders>
                          <w:top w:val="nil"/>
                          <w:left w:val="single" w:sz="4" w:space="0" w:color="auto"/>
                          <w:bottom w:val="single" w:sz="4" w:space="0" w:color="auto"/>
                          <w:right w:val="nil"/>
                        </w:tcBorders>
                        <w:hideMark/>
                      </w:tcPr>
                      <w:p w:rsidR="00340A04" w:rsidRPr="00B569D5" w:rsidRDefault="00340A04" w:rsidP="00340A04">
                        <w:pPr>
                          <w:tabs>
                            <w:tab w:val="left" w:pos="566"/>
                          </w:tabs>
                          <w:spacing w:after="0" w:line="240" w:lineRule="exact"/>
                          <w:jc w:val="center"/>
                          <w:rPr>
                            <w:rFonts w:ascii="Arial" w:eastAsia="ヒラギノ明朝 Pro W3" w:hAnsi="Arial" w:cs="Arial"/>
                            <w:b/>
                            <w:sz w:val="20"/>
                            <w:szCs w:val="20"/>
                          </w:rPr>
                        </w:pPr>
                        <w:r w:rsidRPr="00B569D5">
                          <w:rPr>
                            <w:rFonts w:ascii="Arial" w:eastAsia="ヒラギノ明朝 Pro W3" w:hAnsi="Arial" w:cs="Arial"/>
                            <w:b/>
                            <w:sz w:val="20"/>
                            <w:szCs w:val="20"/>
                          </w:rPr>
                          <w:t>Tarihi</w:t>
                        </w:r>
                      </w:p>
                    </w:tc>
                    <w:tc>
                      <w:tcPr>
                        <w:tcW w:w="4251" w:type="dxa"/>
                        <w:tcBorders>
                          <w:top w:val="nil"/>
                          <w:left w:val="nil"/>
                          <w:bottom w:val="single" w:sz="4" w:space="0" w:color="auto"/>
                          <w:right w:val="single" w:sz="4" w:space="0" w:color="auto"/>
                        </w:tcBorders>
                        <w:hideMark/>
                      </w:tcPr>
                      <w:p w:rsidR="00340A04" w:rsidRPr="00B569D5" w:rsidRDefault="00340A04" w:rsidP="00340A04">
                        <w:pPr>
                          <w:tabs>
                            <w:tab w:val="left" w:pos="566"/>
                          </w:tabs>
                          <w:spacing w:after="0" w:line="240" w:lineRule="exact"/>
                          <w:jc w:val="center"/>
                          <w:rPr>
                            <w:rFonts w:ascii="Arial" w:eastAsia="ヒラギノ明朝 Pro W3" w:hAnsi="Arial" w:cs="Arial"/>
                            <w:b/>
                            <w:sz w:val="20"/>
                            <w:szCs w:val="20"/>
                          </w:rPr>
                        </w:pPr>
                        <w:r w:rsidRPr="00B569D5">
                          <w:rPr>
                            <w:rFonts w:ascii="Arial" w:eastAsia="ヒラギノ明朝 Pro W3" w:hAnsi="Arial" w:cs="Arial"/>
                            <w:b/>
                            <w:sz w:val="20"/>
                            <w:szCs w:val="20"/>
                          </w:rPr>
                          <w:t>Sayısı</w:t>
                        </w:r>
                      </w:p>
                    </w:tc>
                  </w:tr>
                  <w:tr w:rsidR="00340A04" w:rsidRPr="00B569D5">
                    <w:trPr>
                      <w:jc w:val="center"/>
                    </w:trPr>
                    <w:tc>
                      <w:tcPr>
                        <w:tcW w:w="4254" w:type="dxa"/>
                        <w:tcBorders>
                          <w:top w:val="single" w:sz="4" w:space="0" w:color="auto"/>
                          <w:left w:val="single" w:sz="4" w:space="0" w:color="auto"/>
                          <w:bottom w:val="single" w:sz="4" w:space="0" w:color="auto"/>
                          <w:right w:val="single" w:sz="4" w:space="0" w:color="auto"/>
                        </w:tcBorders>
                        <w:hideMark/>
                      </w:tcPr>
                      <w:p w:rsidR="00340A04" w:rsidRPr="00B569D5" w:rsidRDefault="00340A04" w:rsidP="00340A04">
                        <w:pPr>
                          <w:tabs>
                            <w:tab w:val="left" w:pos="566"/>
                          </w:tabs>
                          <w:spacing w:after="0" w:line="240" w:lineRule="exact"/>
                          <w:jc w:val="center"/>
                          <w:rPr>
                            <w:rFonts w:ascii="Arial" w:eastAsia="ヒラギノ明朝 Pro W3" w:hAnsi="Arial" w:cs="Arial"/>
                            <w:sz w:val="20"/>
                            <w:szCs w:val="20"/>
                          </w:rPr>
                        </w:pPr>
                        <w:proofErr w:type="gramStart"/>
                        <w:r w:rsidRPr="00B569D5">
                          <w:rPr>
                            <w:rFonts w:ascii="Arial" w:eastAsia="ヒラギノ明朝 Pro W3" w:hAnsi="Arial" w:cs="Arial"/>
                            <w:sz w:val="20"/>
                            <w:szCs w:val="20"/>
                          </w:rPr>
                          <w:t>14/9/2011</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340A04" w:rsidRPr="00B569D5" w:rsidRDefault="00340A04" w:rsidP="00340A04">
                        <w:pPr>
                          <w:tabs>
                            <w:tab w:val="left" w:pos="566"/>
                          </w:tabs>
                          <w:spacing w:after="0" w:line="240" w:lineRule="exact"/>
                          <w:jc w:val="center"/>
                          <w:rPr>
                            <w:rFonts w:ascii="Arial" w:eastAsia="ヒラギノ明朝 Pro W3" w:hAnsi="Arial" w:cs="Arial"/>
                            <w:sz w:val="20"/>
                            <w:szCs w:val="20"/>
                          </w:rPr>
                        </w:pPr>
                        <w:r w:rsidRPr="00B569D5">
                          <w:rPr>
                            <w:rFonts w:ascii="Arial" w:eastAsia="ヒラギノ明朝 Pro W3" w:hAnsi="Arial" w:cs="Arial"/>
                            <w:sz w:val="20"/>
                            <w:szCs w:val="20"/>
                          </w:rPr>
                          <w:t>28054</w:t>
                        </w:r>
                      </w:p>
                    </w:tc>
                  </w:tr>
                </w:tbl>
                <w:p w:rsidR="00340A04" w:rsidRPr="00B569D5" w:rsidRDefault="00340A04" w:rsidP="00340A04">
                  <w:pPr>
                    <w:tabs>
                      <w:tab w:val="left" w:pos="566"/>
                    </w:tabs>
                    <w:spacing w:after="0" w:line="240" w:lineRule="exact"/>
                    <w:jc w:val="center"/>
                    <w:rPr>
                      <w:rFonts w:ascii="Arial" w:eastAsia="ヒラギノ明朝 Pro W3" w:hAnsi="Arial" w:cs="Arial"/>
                      <w:sz w:val="20"/>
                      <w:szCs w:val="20"/>
                    </w:rPr>
                  </w:pPr>
                </w:p>
                <w:p w:rsidR="00340A04" w:rsidRPr="00B569D5" w:rsidRDefault="00340A04" w:rsidP="00340A04">
                  <w:pPr>
                    <w:spacing w:before="100" w:beforeAutospacing="1" w:after="100" w:afterAutospacing="1" w:line="240" w:lineRule="auto"/>
                    <w:jc w:val="center"/>
                    <w:rPr>
                      <w:rFonts w:ascii="Arial" w:eastAsia="Times New Roman" w:hAnsi="Arial" w:cs="Arial"/>
                      <w:b/>
                      <w:color w:val="000080"/>
                      <w:sz w:val="20"/>
                      <w:szCs w:val="20"/>
                      <w:lang w:eastAsia="tr-TR"/>
                    </w:rPr>
                  </w:pPr>
                </w:p>
              </w:tc>
            </w:tr>
          </w:tbl>
          <w:p w:rsidR="00340A04" w:rsidRPr="00B569D5" w:rsidRDefault="00340A04" w:rsidP="00340A04">
            <w:pPr>
              <w:spacing w:after="0" w:line="240" w:lineRule="auto"/>
              <w:jc w:val="center"/>
              <w:rPr>
                <w:rFonts w:ascii="Arial" w:eastAsia="Times New Roman" w:hAnsi="Arial" w:cs="Arial"/>
                <w:sz w:val="20"/>
                <w:szCs w:val="20"/>
                <w:lang w:eastAsia="tr-TR"/>
              </w:rPr>
            </w:pPr>
          </w:p>
        </w:tc>
      </w:tr>
    </w:tbl>
    <w:p w:rsidR="008351E0" w:rsidRDefault="008351E0"/>
    <w:sectPr w:rsidR="008351E0" w:rsidSect="008351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0A04"/>
    <w:rsid w:val="00340A04"/>
    <w:rsid w:val="008351E0"/>
    <w:rsid w:val="00937CAD"/>
    <w:rsid w:val="009C1CA7"/>
    <w:rsid w:val="00B569D5"/>
    <w:rsid w:val="00B97A93"/>
    <w:rsid w:val="00CB6E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1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40A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340A04"/>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340A04"/>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340A04"/>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412920908">
      <w:bodyDiv w:val="1"/>
      <w:marLeft w:val="0"/>
      <w:marRight w:val="0"/>
      <w:marTop w:val="0"/>
      <w:marBottom w:val="0"/>
      <w:divBdr>
        <w:top w:val="none" w:sz="0" w:space="0" w:color="auto"/>
        <w:left w:val="none" w:sz="0" w:space="0" w:color="auto"/>
        <w:bottom w:val="none" w:sz="0" w:space="0" w:color="auto"/>
        <w:right w:val="none" w:sz="0" w:space="0" w:color="auto"/>
      </w:divBdr>
      <w:divsChild>
        <w:div w:id="1124227270">
          <w:marLeft w:val="0"/>
          <w:marRight w:val="0"/>
          <w:marTop w:val="0"/>
          <w:marBottom w:val="0"/>
          <w:divBdr>
            <w:top w:val="none" w:sz="0" w:space="0" w:color="auto"/>
            <w:left w:val="none" w:sz="0" w:space="0" w:color="auto"/>
            <w:bottom w:val="none" w:sz="0" w:space="0" w:color="auto"/>
            <w:right w:val="none" w:sz="0" w:space="0" w:color="auto"/>
          </w:divBdr>
          <w:divsChild>
            <w:div w:id="1131050634">
              <w:marLeft w:val="0"/>
              <w:marRight w:val="0"/>
              <w:marTop w:val="0"/>
              <w:marBottom w:val="0"/>
              <w:divBdr>
                <w:top w:val="none" w:sz="0" w:space="0" w:color="auto"/>
                <w:left w:val="none" w:sz="0" w:space="0" w:color="auto"/>
                <w:bottom w:val="none" w:sz="0" w:space="0" w:color="auto"/>
                <w:right w:val="none" w:sz="0" w:space="0" w:color="auto"/>
              </w:divBdr>
              <w:divsChild>
                <w:div w:id="5608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4481</Characters>
  <Application>Microsoft Office Word</Application>
  <DocSecurity>0</DocSecurity>
  <Lines>37</Lines>
  <Paragraphs>10</Paragraphs>
  <ScaleCrop>false</ScaleCrop>
  <Company>EGM</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pakize.bolat</dc:creator>
  <cp:keywords/>
  <dc:description/>
  <cp:lastModifiedBy>pakize.bolat</cp:lastModifiedBy>
  <cp:revision>5</cp:revision>
  <dcterms:created xsi:type="dcterms:W3CDTF">2013-08-20T12:19:00Z</dcterms:created>
  <dcterms:modified xsi:type="dcterms:W3CDTF">2013-08-21T11:14:00Z</dcterms:modified>
</cp:coreProperties>
</file>