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3F0E98" w:rsidRPr="003F0E98" w:rsidTr="003F0E9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3F0E98" w:rsidRPr="003F0E98">
              <w:trPr>
                <w:trHeight w:val="317"/>
                <w:jc w:val="center"/>
              </w:trPr>
              <w:tc>
                <w:tcPr>
                  <w:tcW w:w="2931" w:type="dxa"/>
                  <w:tcBorders>
                    <w:top w:val="nil"/>
                    <w:left w:val="nil"/>
                    <w:bottom w:val="single" w:sz="4" w:space="0" w:color="660066"/>
                    <w:right w:val="nil"/>
                  </w:tcBorders>
                  <w:vAlign w:val="center"/>
                  <w:hideMark/>
                </w:tcPr>
                <w:p w:rsidR="003F0E98" w:rsidRPr="003F0E98" w:rsidRDefault="003F0E98" w:rsidP="003F0E98">
                  <w:pPr>
                    <w:tabs>
                      <w:tab w:val="left" w:pos="567"/>
                      <w:tab w:val="center" w:pos="994"/>
                      <w:tab w:val="center" w:pos="3543"/>
                      <w:tab w:val="right" w:pos="6520"/>
                    </w:tabs>
                    <w:spacing w:after="0" w:line="240" w:lineRule="exact"/>
                    <w:rPr>
                      <w:rFonts w:ascii="Arial" w:eastAsia="Times New Roman" w:hAnsi="Arial" w:cs="Arial"/>
                      <w:b/>
                      <w:sz w:val="20"/>
                      <w:szCs w:val="20"/>
                      <w:lang w:eastAsia="tr-TR"/>
                    </w:rPr>
                  </w:pPr>
                  <w:bookmarkStart w:id="0" w:name="_GoBack"/>
                  <w:bookmarkEnd w:id="0"/>
                  <w:r>
                    <w:rPr>
                      <w:rFonts w:ascii="Arial" w:eastAsia="Times New Roman" w:hAnsi="Arial" w:cs="Arial"/>
                      <w:sz w:val="20"/>
                      <w:szCs w:val="20"/>
                      <w:lang w:eastAsia="tr-TR"/>
                    </w:rPr>
                    <w:t xml:space="preserve">25 Ağustos 2014 </w:t>
                  </w:r>
                  <w:r w:rsidRPr="003F0E98">
                    <w:rPr>
                      <w:rFonts w:ascii="Arial" w:eastAsia="Times New Roman" w:hAnsi="Arial" w:cs="Arial"/>
                      <w:sz w:val="20"/>
                      <w:szCs w:val="20"/>
                      <w:lang w:eastAsia="tr-TR"/>
                    </w:rPr>
                    <w:t>PAZARTESİ</w:t>
                  </w:r>
                </w:p>
              </w:tc>
              <w:tc>
                <w:tcPr>
                  <w:tcW w:w="2931" w:type="dxa"/>
                  <w:tcBorders>
                    <w:top w:val="nil"/>
                    <w:left w:val="nil"/>
                    <w:bottom w:val="single" w:sz="4" w:space="0" w:color="660066"/>
                    <w:right w:val="nil"/>
                  </w:tcBorders>
                  <w:vAlign w:val="center"/>
                  <w:hideMark/>
                </w:tcPr>
                <w:p w:rsidR="003F0E98" w:rsidRPr="003F0E98" w:rsidRDefault="003F0E98" w:rsidP="003F0E98">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lang w:eastAsia="tr-TR"/>
                    </w:rPr>
                  </w:pPr>
                  <w:r w:rsidRPr="003F0E98">
                    <w:rPr>
                      <w:rFonts w:ascii="Arial" w:eastAsia="Times New Roman" w:hAnsi="Arial" w:cs="Arial"/>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3F0E98" w:rsidRPr="003F0E98" w:rsidRDefault="003F0E98" w:rsidP="003F0E98">
                  <w:pPr>
                    <w:spacing w:before="100" w:beforeAutospacing="1" w:after="100" w:afterAutospacing="1" w:line="240" w:lineRule="auto"/>
                    <w:jc w:val="right"/>
                    <w:rPr>
                      <w:rFonts w:ascii="Arial" w:eastAsia="Times New Roman" w:hAnsi="Arial" w:cs="Arial"/>
                      <w:sz w:val="20"/>
                      <w:szCs w:val="20"/>
                      <w:lang w:eastAsia="tr-TR"/>
                    </w:rPr>
                  </w:pPr>
                  <w:proofErr w:type="gramStart"/>
                  <w:r w:rsidRPr="003F0E98">
                    <w:rPr>
                      <w:rFonts w:ascii="Arial" w:eastAsia="Times New Roman" w:hAnsi="Arial" w:cs="Arial"/>
                      <w:sz w:val="20"/>
                      <w:szCs w:val="20"/>
                      <w:lang w:eastAsia="tr-TR"/>
                    </w:rPr>
                    <w:t>Sayı : 29099</w:t>
                  </w:r>
                  <w:proofErr w:type="gramEnd"/>
                </w:p>
              </w:tc>
            </w:tr>
            <w:tr w:rsidR="003F0E98" w:rsidRPr="003F0E98">
              <w:trPr>
                <w:trHeight w:val="480"/>
                <w:jc w:val="center"/>
              </w:trPr>
              <w:tc>
                <w:tcPr>
                  <w:tcW w:w="8789" w:type="dxa"/>
                  <w:gridSpan w:val="3"/>
                  <w:vAlign w:val="center"/>
                  <w:hideMark/>
                </w:tcPr>
                <w:p w:rsidR="003F0E98" w:rsidRPr="003F0E98" w:rsidRDefault="003F0E98" w:rsidP="003F0E98">
                  <w:pPr>
                    <w:spacing w:before="100" w:beforeAutospacing="1" w:after="100" w:afterAutospacing="1" w:line="240" w:lineRule="auto"/>
                    <w:jc w:val="center"/>
                    <w:rPr>
                      <w:rFonts w:ascii="Arial" w:eastAsia="Times New Roman" w:hAnsi="Arial" w:cs="Arial"/>
                      <w:b/>
                      <w:color w:val="000080"/>
                      <w:sz w:val="20"/>
                      <w:szCs w:val="20"/>
                      <w:lang w:eastAsia="tr-TR"/>
                    </w:rPr>
                  </w:pPr>
                  <w:r w:rsidRPr="003F0E98">
                    <w:rPr>
                      <w:rFonts w:ascii="Arial" w:eastAsia="Times New Roman" w:hAnsi="Arial" w:cs="Arial"/>
                      <w:b/>
                      <w:color w:val="000080"/>
                      <w:sz w:val="20"/>
                      <w:szCs w:val="20"/>
                      <w:lang w:eastAsia="tr-TR"/>
                    </w:rPr>
                    <w:t>TEBLİĞ</w:t>
                  </w:r>
                </w:p>
              </w:tc>
            </w:tr>
            <w:tr w:rsidR="003F0E98" w:rsidRPr="003F0E98">
              <w:trPr>
                <w:trHeight w:val="480"/>
                <w:jc w:val="center"/>
              </w:trPr>
              <w:tc>
                <w:tcPr>
                  <w:tcW w:w="8789" w:type="dxa"/>
                  <w:gridSpan w:val="3"/>
                  <w:vAlign w:val="center"/>
                </w:tcPr>
                <w:p w:rsidR="003F0E98" w:rsidRPr="003F0E98" w:rsidRDefault="003F0E98" w:rsidP="003F0E98">
                  <w:pPr>
                    <w:tabs>
                      <w:tab w:val="left" w:pos="566"/>
                    </w:tabs>
                    <w:spacing w:after="0" w:line="240" w:lineRule="exact"/>
                    <w:ind w:firstLine="566"/>
                    <w:rPr>
                      <w:rFonts w:ascii="Arial" w:eastAsia="ヒラギノ明朝 Pro W3" w:hAnsi="Arial" w:cs="Arial"/>
                      <w:sz w:val="20"/>
                      <w:szCs w:val="20"/>
                      <w:u w:val="single"/>
                    </w:rPr>
                  </w:pPr>
                  <w:r w:rsidRPr="003F0E98">
                    <w:rPr>
                      <w:rFonts w:ascii="Arial" w:eastAsia="ヒラギノ明朝 Pro W3" w:hAnsi="Arial" w:cs="Arial"/>
                      <w:sz w:val="20"/>
                      <w:szCs w:val="20"/>
                      <w:u w:val="single"/>
                    </w:rPr>
                    <w:t>Maliye Bakanlığından:</w:t>
                  </w:r>
                </w:p>
                <w:p w:rsidR="003F0E98" w:rsidRPr="003F0E98" w:rsidRDefault="003F0E98" w:rsidP="003F0E98">
                  <w:pPr>
                    <w:spacing w:after="0" w:line="240" w:lineRule="exact"/>
                    <w:jc w:val="center"/>
                    <w:rPr>
                      <w:rFonts w:ascii="Arial" w:eastAsia="ヒラギノ明朝 Pro W3" w:hAnsi="Arial" w:cs="Arial"/>
                      <w:b/>
                      <w:sz w:val="20"/>
                      <w:szCs w:val="20"/>
                    </w:rPr>
                  </w:pPr>
                  <w:r w:rsidRPr="003F0E98">
                    <w:rPr>
                      <w:rFonts w:ascii="Arial" w:eastAsia="ヒラギノ明朝 Pro W3" w:hAnsi="Arial" w:cs="Arial"/>
                      <w:b/>
                      <w:sz w:val="20"/>
                      <w:szCs w:val="20"/>
                    </w:rPr>
                    <w:t>MALİ SUÇLARI ARAŞTIRMA KURULU GENEL TEBLİĞİ</w:t>
                  </w:r>
                </w:p>
                <w:p w:rsidR="003F0E98" w:rsidRPr="003F0E98" w:rsidRDefault="003F0E98" w:rsidP="003F0E98">
                  <w:pPr>
                    <w:spacing w:after="0" w:line="240" w:lineRule="exact"/>
                    <w:jc w:val="center"/>
                    <w:rPr>
                      <w:rFonts w:ascii="Arial" w:eastAsia="ヒラギノ明朝 Pro W3" w:hAnsi="Arial" w:cs="Arial"/>
                      <w:b/>
                      <w:sz w:val="20"/>
                      <w:szCs w:val="20"/>
                    </w:rPr>
                  </w:pPr>
                  <w:r w:rsidRPr="003F0E98">
                    <w:rPr>
                      <w:rFonts w:ascii="Arial" w:eastAsia="ヒラギノ明朝 Pro W3" w:hAnsi="Arial" w:cs="Arial"/>
                      <w:b/>
                      <w:sz w:val="20"/>
                      <w:szCs w:val="20"/>
                    </w:rPr>
                    <w:t>(SIRA NO: 13)</w:t>
                  </w:r>
                </w:p>
                <w:p w:rsidR="003F0E98" w:rsidRPr="003F0E98" w:rsidRDefault="003F0E98" w:rsidP="003F0E98">
                  <w:pPr>
                    <w:spacing w:after="0" w:line="240" w:lineRule="exact"/>
                    <w:jc w:val="center"/>
                    <w:rPr>
                      <w:rFonts w:ascii="Arial" w:eastAsia="ヒラギノ明朝 Pro W3" w:hAnsi="Arial" w:cs="Arial"/>
                      <w:b/>
                      <w:sz w:val="20"/>
                      <w:szCs w:val="20"/>
                    </w:rPr>
                  </w:pPr>
                  <w:r w:rsidRPr="003F0E98">
                    <w:rPr>
                      <w:rFonts w:ascii="Arial" w:eastAsia="ヒラギノ明朝 Pro W3" w:hAnsi="Arial" w:cs="Arial"/>
                      <w:b/>
                      <w:sz w:val="20"/>
                      <w:szCs w:val="20"/>
                    </w:rPr>
                    <w:t>BİRİNCİ BÖLÜM</w:t>
                  </w:r>
                </w:p>
                <w:p w:rsidR="003F0E98" w:rsidRPr="003F0E98" w:rsidRDefault="003F0E98" w:rsidP="003F0E98">
                  <w:pPr>
                    <w:spacing w:after="0" w:line="240" w:lineRule="exact"/>
                    <w:jc w:val="center"/>
                    <w:rPr>
                      <w:rFonts w:ascii="Arial" w:eastAsia="ヒラギノ明朝 Pro W3" w:hAnsi="Arial" w:cs="Arial"/>
                      <w:b/>
                      <w:sz w:val="20"/>
                      <w:szCs w:val="20"/>
                    </w:rPr>
                  </w:pPr>
                  <w:r w:rsidRPr="003F0E98">
                    <w:rPr>
                      <w:rFonts w:ascii="Arial" w:eastAsia="ヒラギノ明朝 Pro W3" w:hAnsi="Arial" w:cs="Arial"/>
                      <w:b/>
                      <w:sz w:val="20"/>
                      <w:szCs w:val="20"/>
                    </w:rPr>
                    <w:t>Amaç, Kapsam, Dayanak ve Tanımlar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Amaç ve Kapsam</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1 –</w:t>
                  </w:r>
                  <w:r w:rsidRPr="003F0E98">
                    <w:rPr>
                      <w:rFonts w:ascii="Arial" w:eastAsia="ヒラギノ明朝 Pro W3" w:hAnsi="Arial" w:cs="Arial"/>
                      <w:sz w:val="20"/>
                      <w:szCs w:val="20"/>
                    </w:rPr>
                    <w:t xml:space="preserve"> (1) Bu Tebliğin amacı, şüpheli işlem bildirimine ilişkin usul ve esasları düzenlemektir.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Dayanak</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2 –</w:t>
                  </w:r>
                  <w:r w:rsidRPr="003F0E98">
                    <w:rPr>
                      <w:rFonts w:ascii="Arial" w:eastAsia="ヒラギノ明朝 Pro W3" w:hAnsi="Arial" w:cs="Arial"/>
                      <w:sz w:val="20"/>
                      <w:szCs w:val="20"/>
                    </w:rPr>
                    <w:t xml:space="preserve"> (1) Bu Tebliğ, </w:t>
                  </w:r>
                  <w:proofErr w:type="gramStart"/>
                  <w:r w:rsidRPr="003F0E98">
                    <w:rPr>
                      <w:rFonts w:ascii="Arial" w:eastAsia="ヒラギノ明朝 Pro W3" w:hAnsi="Arial" w:cs="Arial"/>
                      <w:sz w:val="20"/>
                      <w:szCs w:val="20"/>
                    </w:rPr>
                    <w:t>10/12/2007</w:t>
                  </w:r>
                  <w:proofErr w:type="gramEnd"/>
                  <w:r w:rsidRPr="003F0E98">
                    <w:rPr>
                      <w:rFonts w:ascii="Arial" w:eastAsia="ヒラギノ明朝 Pro W3" w:hAnsi="Arial" w:cs="Arial"/>
                      <w:sz w:val="20"/>
                      <w:szCs w:val="20"/>
                    </w:rPr>
                    <w:t xml:space="preserve"> tarihli ve 2007/13012 sayılı Bakanlar Kurulu Kararı ile yürürlüğe konulan Suç Gelirlerinin Aklanmasının ve Terörün Finansmanının Önlenmesine Dair Tedbirler Hakkında Yönetmeliğin 27 ve 28 inci maddelerine dayanılarak hazırlanmıştır.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Tanımlar ve kısaltmalar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3 –</w:t>
                  </w:r>
                  <w:r w:rsidRPr="003F0E98">
                    <w:rPr>
                      <w:rFonts w:ascii="Arial" w:eastAsia="ヒラギノ明朝 Pro W3" w:hAnsi="Arial" w:cs="Arial"/>
                      <w:sz w:val="20"/>
                      <w:szCs w:val="20"/>
                    </w:rPr>
                    <w:t xml:space="preserve"> (1) Bu Tebliğde geçen;</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a) Başkanlık: Mali Suçları Araştırma Kurulu Başkanlığını,</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 xml:space="preserve">b) </w:t>
                  </w:r>
                  <w:proofErr w:type="gramStart"/>
                  <w:r w:rsidRPr="003F0E98">
                    <w:rPr>
                      <w:rFonts w:ascii="Arial" w:eastAsia="ヒラギノ明朝 Pro W3" w:hAnsi="Arial" w:cs="Arial"/>
                      <w:sz w:val="20"/>
                      <w:szCs w:val="20"/>
                    </w:rPr>
                    <w:t>MASAK.ONLINE</w:t>
                  </w:r>
                  <w:proofErr w:type="gramEnd"/>
                  <w:r w:rsidRPr="003F0E98">
                    <w:rPr>
                      <w:rFonts w:ascii="Arial" w:eastAsia="ヒラギノ明朝 Pro W3" w:hAnsi="Arial" w:cs="Arial"/>
                      <w:sz w:val="20"/>
                      <w:szCs w:val="20"/>
                    </w:rPr>
                    <w:t>: Şüpheli işlem bildirimlerinin elektronik ortamda gönderilmesine imkan tanıyan sistemi,</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c) ŞİB formu: Şüpheli işlem bildirim formunu,</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proofErr w:type="gramStart"/>
                  <w:r w:rsidRPr="003F0E98">
                    <w:rPr>
                      <w:rFonts w:ascii="Arial" w:eastAsia="ヒラギノ明朝 Pro W3" w:hAnsi="Arial" w:cs="Arial"/>
                      <w:sz w:val="20"/>
                      <w:szCs w:val="20"/>
                    </w:rPr>
                    <w:t>ç) Şüpheli işlem: Yükümlüler nezdinde veya bunlar aracılığıyla yapılan veya yapılmaya teşebbüs edilen işleme konu malvarlığının; yasa dışı yollardan elde edildiğine veya yasa dışı amaçlarla kullanıldığına, terörist eylemler için ya da terör örgütleri, teröristler veya terörü finanse edenler tarafından kullanıldığına veya bunlarla ilgili ya da bağlantılı olduğuna dair herhangi bir bilgi, şüphe veya şüpheyi gerektirecek bir hususun bulunması halini,</w:t>
                  </w:r>
                  <w:proofErr w:type="gramEnd"/>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d) Yükümlü: Yönetmeliğin 4 üncü maddesinde sayılanlar ile bunların şube, acente, temsilci ve ticari vekilleri ile benzeri bağlı birimlerini,</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 xml:space="preserve">e) Yönetmelik: </w:t>
                  </w:r>
                  <w:proofErr w:type="gramStart"/>
                  <w:r w:rsidRPr="003F0E98">
                    <w:rPr>
                      <w:rFonts w:ascii="Arial" w:eastAsia="ヒラギノ明朝 Pro W3" w:hAnsi="Arial" w:cs="Arial"/>
                      <w:sz w:val="20"/>
                      <w:szCs w:val="20"/>
                    </w:rPr>
                    <w:t>10/12/2007</w:t>
                  </w:r>
                  <w:proofErr w:type="gramEnd"/>
                  <w:r w:rsidRPr="003F0E98">
                    <w:rPr>
                      <w:rFonts w:ascii="Arial" w:eastAsia="ヒラギノ明朝 Pro W3" w:hAnsi="Arial" w:cs="Arial"/>
                      <w:sz w:val="20"/>
                      <w:szCs w:val="20"/>
                    </w:rPr>
                    <w:t xml:space="preserve"> tarihli ve 2007/13012 sayılı Bakanlar Kurulu Kararı ile yürürlüğe konulan Suç Gelirlerinin Aklanmasının ve Terörün Finansmanının Önlenmesine Dair Tedbirler Hakkında Yönetmeliği,</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proofErr w:type="gramStart"/>
                  <w:r w:rsidRPr="003F0E98">
                    <w:rPr>
                      <w:rFonts w:ascii="Arial" w:eastAsia="ヒラギノ明朝 Pro W3" w:hAnsi="Arial" w:cs="Arial"/>
                      <w:sz w:val="20"/>
                      <w:szCs w:val="20"/>
                    </w:rPr>
                    <w:t>ifade</w:t>
                  </w:r>
                  <w:proofErr w:type="gramEnd"/>
                  <w:r w:rsidRPr="003F0E98">
                    <w:rPr>
                      <w:rFonts w:ascii="Arial" w:eastAsia="ヒラギノ明朝 Pro W3" w:hAnsi="Arial" w:cs="Arial"/>
                      <w:sz w:val="20"/>
                      <w:szCs w:val="20"/>
                    </w:rPr>
                    <w:t xml:space="preserve"> eder.</w:t>
                  </w:r>
                </w:p>
                <w:p w:rsidR="003F0E98" w:rsidRPr="003F0E98" w:rsidRDefault="003F0E98" w:rsidP="003F0E98">
                  <w:pPr>
                    <w:spacing w:after="0" w:line="240" w:lineRule="exact"/>
                    <w:jc w:val="center"/>
                    <w:rPr>
                      <w:rFonts w:ascii="Arial" w:eastAsia="ヒラギノ明朝 Pro W3" w:hAnsi="Arial" w:cs="Arial"/>
                      <w:b/>
                      <w:sz w:val="20"/>
                      <w:szCs w:val="20"/>
                    </w:rPr>
                  </w:pPr>
                  <w:r w:rsidRPr="003F0E98">
                    <w:rPr>
                      <w:rFonts w:ascii="Arial" w:eastAsia="ヒラギノ明朝 Pro W3" w:hAnsi="Arial" w:cs="Arial"/>
                      <w:b/>
                      <w:sz w:val="20"/>
                      <w:szCs w:val="20"/>
                    </w:rPr>
                    <w:t>İKİNCİ BÖLÜM</w:t>
                  </w:r>
                </w:p>
                <w:p w:rsidR="003F0E98" w:rsidRPr="003F0E98" w:rsidRDefault="003F0E98" w:rsidP="003F0E98">
                  <w:pPr>
                    <w:spacing w:after="0" w:line="240" w:lineRule="exact"/>
                    <w:jc w:val="center"/>
                    <w:rPr>
                      <w:rFonts w:ascii="Arial" w:eastAsia="ヒラギノ明朝 Pro W3" w:hAnsi="Arial" w:cs="Arial"/>
                      <w:b/>
                      <w:sz w:val="20"/>
                      <w:szCs w:val="20"/>
                    </w:rPr>
                  </w:pPr>
                  <w:r w:rsidRPr="003F0E98">
                    <w:rPr>
                      <w:rFonts w:ascii="Arial" w:eastAsia="ヒラギノ明朝 Pro W3" w:hAnsi="Arial" w:cs="Arial"/>
                      <w:b/>
                      <w:sz w:val="20"/>
                      <w:szCs w:val="20"/>
                    </w:rPr>
                    <w:t>Şüpheli İşlem Bildirimine İlişkin Usul ve Esaslar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Genel esaslar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4 –</w:t>
                  </w:r>
                  <w:r w:rsidRPr="003F0E98">
                    <w:rPr>
                      <w:rFonts w:ascii="Arial" w:eastAsia="ヒラギノ明朝 Pro W3" w:hAnsi="Arial" w:cs="Arial"/>
                      <w:sz w:val="20"/>
                      <w:szCs w:val="20"/>
                    </w:rPr>
                    <w:t xml:space="preserve"> (1) Yükümlüler tarafından, şüpheli bir işlemle karşılaşıldığında, işlem hakkında yetki ve imkânlar ölçüsünde araştırma yapıldıktan sonra, edinilen bilgi ve bulgular çerçevesinde, ŞİB formu doldurulmak suretiyle Başkanlığa şüpheli işlem bildiriminde bulunulur.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(2) Şüpheli işlemler, herhangi bir parasal sınır gözetmeksizin Başkanlığa bildirilir.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(3) Şüpheli işlem kavramında geçen işlem ifadesi tek bir işlem ile sınırlı olmayıp, birden çok işlemi kapsayabilir. Birden çok işlem bir arada ele alınarak değerlendirildiğinde şüphe arz eden işlemler için tek bir ŞİB formu düzenlenir.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 xml:space="preserve">(4) Bildirim sürecinde, işlemin niteliği veya müşteri </w:t>
                  </w:r>
                  <w:proofErr w:type="gramStart"/>
                  <w:r w:rsidRPr="003F0E98">
                    <w:rPr>
                      <w:rFonts w:ascii="Arial" w:eastAsia="ヒラギノ明朝 Pro W3" w:hAnsi="Arial" w:cs="Arial"/>
                      <w:sz w:val="20"/>
                      <w:szCs w:val="20"/>
                    </w:rPr>
                    <w:t>profiliyle</w:t>
                  </w:r>
                  <w:proofErr w:type="gramEnd"/>
                  <w:r w:rsidRPr="003F0E98">
                    <w:rPr>
                      <w:rFonts w:ascii="Arial" w:eastAsia="ヒラギノ明朝 Pro W3" w:hAnsi="Arial" w:cs="Arial"/>
                      <w:sz w:val="20"/>
                      <w:szCs w:val="20"/>
                    </w:rPr>
                    <w:t xml:space="preserve"> ilgili daha ayrıntılı araştırma yapılması gerekebilir. Yetki ve imkânlar ölçüsünde yapılacak bu araştırmanın amacı, şüpheyi destekleyecek ek bulguların olup olmadığını tespit etmektir. Araştırma yapılırken, müşterinin, kendisi hakkında bildirimde bulunulacağından şüphelenmesine neden olacak tutum ve davranışlardan kaçınılır.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(5) Şüpheli işlem bildirimini gerektiren durumlarda yükümlüler tarafından gerekli kimlik tespit işlemleri yapılır. Bildirime konu şüpheli işlemin teşebbüs aşamasında kaldığı ve gerçekleştirilmediği durumlarda da kimlik tespiti yükümlülüğü mümkün olduğu ölçüde yerine getirilir.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(6) Bildirimde bulunulan işlemle ilgili olarak yeni bilgi ve bulgular elde edildiği takdirde, tekrar ŞİB formu doldurulur ve daha önce yapılan bildirime ek olduğu belirtilerek gecikilmeksizin Başkanlığa gönderilir.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(7) Şüpheyi destekleyen bilgi ve belgeler ŞİB formuna ek yapılır.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 xml:space="preserve">(8) İşleme konu malvarlığının suç gelirlerinin aklanması ve terörün finansmanıyla ilgili olduğuna dair belge veya ciddi emare bulunması halinde, Başkanlık ŞİB formu doldurularak </w:t>
                  </w:r>
                  <w:r w:rsidRPr="003F0E98">
                    <w:rPr>
                      <w:rFonts w:ascii="Arial" w:eastAsia="ヒラギノ明朝 Pro W3" w:hAnsi="Arial" w:cs="Arial"/>
                      <w:sz w:val="20"/>
                      <w:szCs w:val="20"/>
                    </w:rPr>
                    <w:lastRenderedPageBreak/>
                    <w:t>(“çok ivedi” kaydı içerecek şekilde) bilgilendirilinceye kadar, talep edilen işlemin gerçekleştirilmesinden imtina edilir. Şüphelenilen işlemi gerçekleştirmekten kaçınmanın imkânsız olduğu ya da işlemi gerçekleştirmekten imtina etmenin işlemin faydalanıcılarını tespit etme çabalarını engelleyebileceği durumlarda bilgilendirme, işlemden hemen sonra da yapılabilir.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Şüpheli işlemin bildirim zamanı</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5 –</w:t>
                  </w:r>
                  <w:r w:rsidRPr="003F0E98">
                    <w:rPr>
                      <w:rFonts w:ascii="Arial" w:eastAsia="ヒラギノ明朝 Pro W3" w:hAnsi="Arial" w:cs="Arial"/>
                      <w:sz w:val="20"/>
                      <w:szCs w:val="20"/>
                    </w:rPr>
                    <w:t xml:space="preserve"> (1) Şüpheli işlemler yükümlüler tarafından; işleme ilişkin şüphenin oluştuğu tarihten itibaren en geç on iş günü içinde, gecikmesinde sakınca bulunan hallerde ise derhal Başkanlığa bildirilir.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(2) Elektronik olarak bildirilen şüpheli işlemlerde bildirim tarihi olarak, bildirimin Başkanlık kayıtlarına girdiği tarih esas alınır.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Şüpheli işlem bildirim rehberleri</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6 –</w:t>
                  </w:r>
                  <w:r w:rsidRPr="003F0E98">
                    <w:rPr>
                      <w:rFonts w:ascii="Arial" w:eastAsia="ヒラギノ明朝 Pro W3" w:hAnsi="Arial" w:cs="Arial"/>
                      <w:sz w:val="20"/>
                      <w:szCs w:val="20"/>
                    </w:rPr>
                    <w:t xml:space="preserve"> (1) Başkanlık, elektronik ve </w:t>
                  </w:r>
                  <w:proofErr w:type="gramStart"/>
                  <w:r w:rsidRPr="003F0E98">
                    <w:rPr>
                      <w:rFonts w:ascii="Arial" w:eastAsia="ヒラギノ明朝 Pro W3" w:hAnsi="Arial" w:cs="Arial"/>
                      <w:sz w:val="20"/>
                      <w:szCs w:val="20"/>
                    </w:rPr>
                    <w:t>kağıt</w:t>
                  </w:r>
                  <w:proofErr w:type="gramEnd"/>
                  <w:r w:rsidRPr="003F0E98">
                    <w:rPr>
                      <w:rFonts w:ascii="Arial" w:eastAsia="ヒラギノ明朝 Pro W3" w:hAnsi="Arial" w:cs="Arial"/>
                      <w:sz w:val="20"/>
                      <w:szCs w:val="20"/>
                    </w:rPr>
                    <w:t xml:space="preserve"> ortamındaki şüpheli işlemlerin bildirimlerine ilişkin usul ve esasları belirlemek üzere yükümlüler için genel ve </w:t>
                  </w:r>
                  <w:proofErr w:type="spellStart"/>
                  <w:r w:rsidRPr="003F0E98">
                    <w:rPr>
                      <w:rFonts w:ascii="Arial" w:eastAsia="ヒラギノ明朝 Pro W3" w:hAnsi="Arial" w:cs="Arial"/>
                      <w:sz w:val="20"/>
                      <w:szCs w:val="20"/>
                    </w:rPr>
                    <w:t>sektörel</w:t>
                  </w:r>
                  <w:proofErr w:type="spellEnd"/>
                  <w:r w:rsidRPr="003F0E98">
                    <w:rPr>
                      <w:rFonts w:ascii="Arial" w:eastAsia="ヒラギノ明朝 Pro W3" w:hAnsi="Arial" w:cs="Arial"/>
                      <w:sz w:val="20"/>
                      <w:szCs w:val="20"/>
                    </w:rPr>
                    <w:t xml:space="preserve"> mahiyette şüpheli işlem bildirim rehberleri yayımlayabilir.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 xml:space="preserve">(2) Rehberler Başkanlığın resmi internet sitesi ve/veya </w:t>
                  </w:r>
                  <w:proofErr w:type="gramStart"/>
                  <w:r w:rsidRPr="003F0E98">
                    <w:rPr>
                      <w:rFonts w:ascii="Arial" w:eastAsia="ヒラギノ明朝 Pro W3" w:hAnsi="Arial" w:cs="Arial"/>
                      <w:sz w:val="20"/>
                      <w:szCs w:val="20"/>
                    </w:rPr>
                    <w:t>MASAK.ONLINE</w:t>
                  </w:r>
                  <w:proofErr w:type="gramEnd"/>
                  <w:r w:rsidRPr="003F0E98">
                    <w:rPr>
                      <w:rFonts w:ascii="Arial" w:eastAsia="ヒラギノ明朝 Pro W3" w:hAnsi="Arial" w:cs="Arial"/>
                      <w:sz w:val="20"/>
                      <w:szCs w:val="20"/>
                    </w:rPr>
                    <w:t xml:space="preserve"> aracılığı ile duyurulur. Yükümlüler tarafından yapılacak bildirimler, bu rehberlerde belirtilen usul ve esaslara uygun şekilde yapılır.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 xml:space="preserve">(3) Başkanlık rehberde belirlenen usul veya esaslarda herhangi bir değişiklik öngördüğünde, bu hususlar resmi internet sitesi ve/veya </w:t>
                  </w:r>
                  <w:proofErr w:type="gramStart"/>
                  <w:r w:rsidRPr="003F0E98">
                    <w:rPr>
                      <w:rFonts w:ascii="Arial" w:eastAsia="ヒラギノ明朝 Pro W3" w:hAnsi="Arial" w:cs="Arial"/>
                      <w:sz w:val="20"/>
                      <w:szCs w:val="20"/>
                    </w:rPr>
                    <w:t>MASAK.ONLINE</w:t>
                  </w:r>
                  <w:proofErr w:type="gramEnd"/>
                  <w:r w:rsidRPr="003F0E98">
                    <w:rPr>
                      <w:rFonts w:ascii="Arial" w:eastAsia="ヒラギノ明朝 Pro W3" w:hAnsi="Arial" w:cs="Arial"/>
                      <w:sz w:val="20"/>
                      <w:szCs w:val="20"/>
                    </w:rPr>
                    <w:t xml:space="preserve"> aracılığı ile duyurulur ve bildirimler belirlenen yeni usul ve esaslar çerçevesinde oluşturulan güncel rehberlere göre gerçekleştirilir.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Bildirim kategorisi ile suça ilişkin şüphe kategorisi</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7 –</w:t>
                  </w:r>
                  <w:r w:rsidRPr="003F0E98">
                    <w:rPr>
                      <w:rFonts w:ascii="Arial" w:eastAsia="ヒラギノ明朝 Pro W3" w:hAnsi="Arial" w:cs="Arial"/>
                      <w:sz w:val="20"/>
                      <w:szCs w:val="20"/>
                    </w:rPr>
                    <w:t xml:space="preserve"> (1) ŞİB formunun doldurulması aşamasında bildirim kategorisinin belirtilmesi zorunlu olup, Başkanlıkça ilgili rehberde belirlenen suça ilişkin şüphe kategorisi içinden de uygun seçenek ya da seçenekler işaretlenir. Bildirim kategorisi, yapılan şüpheli işlem bildiriminin suç gelirlerinin aklanması ile terörün finansmanı açısından niteliğini ortaya koymaya yöneliktir. Suça ilişkin şüphe kategorisi ise suç gelirlerinin aklanması veya terörün finansmanı kapsamında bildirilen işleme konu değerin kaynağını teşkil eden yasadışı faaliyete yönelik herhangi bir bilgi veya şüphe bulunması durumunu ifade eder.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Şüpheli işlem tipleri</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8 –</w:t>
                  </w:r>
                  <w:r w:rsidRPr="003F0E98">
                    <w:rPr>
                      <w:rFonts w:ascii="Arial" w:eastAsia="ヒラギノ明朝 Pro W3" w:hAnsi="Arial" w:cs="Arial"/>
                      <w:sz w:val="20"/>
                      <w:szCs w:val="20"/>
                    </w:rPr>
                    <w:t xml:space="preserve"> (1) Yükümlülerin suç gelirlerinin aklanması ve terörün finansmanında araç olarak kullanılmaları riskine karşı ortak bir tutum, anlayış ve işbirliği içinde olmalarının sağlanması ve şüpheli işlemlerin tespitinde yükümlülere yardımcı olunması amacıyla Başkanlık tarafından şüpheli işlem tipleri belirlenir. Bu kapsamda tüm yükümlü gruplarına yönelik olarak genel mahiyette ve terörün finansmanı ile bağlantılı şüpheli işlem tiplerinin yanı sıra yükümlülerin faaliyet alanları dikkate alınarak bazı yükümlü grupları için </w:t>
                  </w:r>
                  <w:proofErr w:type="spellStart"/>
                  <w:r w:rsidRPr="003F0E98">
                    <w:rPr>
                      <w:rFonts w:ascii="Arial" w:eastAsia="ヒラギノ明朝 Pro W3" w:hAnsi="Arial" w:cs="Arial"/>
                      <w:sz w:val="20"/>
                      <w:szCs w:val="20"/>
                    </w:rPr>
                    <w:t>sektörel</w:t>
                  </w:r>
                  <w:proofErr w:type="spellEnd"/>
                  <w:r w:rsidRPr="003F0E98">
                    <w:rPr>
                      <w:rFonts w:ascii="Arial" w:eastAsia="ヒラギノ明朝 Pro W3" w:hAnsi="Arial" w:cs="Arial"/>
                      <w:sz w:val="20"/>
                      <w:szCs w:val="20"/>
                    </w:rPr>
                    <w:t xml:space="preserve"> mahiyette şüpheli işlem tipleri belirlenebilir. Belirlenen şüpheli işlem tiplerine Başkanlık tarafından yayımlanan şüpheli işlem bildirim rehberlerinde yer verilir.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 xml:space="preserve">(2) Başkanlıkça belirlenecek genel mahiyette şüpheli işlem tipleri; müşteri </w:t>
                  </w:r>
                  <w:proofErr w:type="gramStart"/>
                  <w:r w:rsidRPr="003F0E98">
                    <w:rPr>
                      <w:rFonts w:ascii="Arial" w:eastAsia="ヒラギノ明朝 Pro W3" w:hAnsi="Arial" w:cs="Arial"/>
                      <w:sz w:val="20"/>
                      <w:szCs w:val="20"/>
                    </w:rPr>
                    <w:t>profiline</w:t>
                  </w:r>
                  <w:proofErr w:type="gramEnd"/>
                  <w:r w:rsidRPr="003F0E98">
                    <w:rPr>
                      <w:rFonts w:ascii="Arial" w:eastAsia="ヒラギノ明朝 Pro W3" w:hAnsi="Arial" w:cs="Arial"/>
                      <w:sz w:val="20"/>
                      <w:szCs w:val="20"/>
                    </w:rPr>
                    <w:t xml:space="preserve"> ve işlemlere ilişkin tipleri içerir. Bu kapsamda, müşteri </w:t>
                  </w:r>
                  <w:proofErr w:type="gramStart"/>
                  <w:r w:rsidRPr="003F0E98">
                    <w:rPr>
                      <w:rFonts w:ascii="Arial" w:eastAsia="ヒラギノ明朝 Pro W3" w:hAnsi="Arial" w:cs="Arial"/>
                      <w:sz w:val="20"/>
                      <w:szCs w:val="20"/>
                    </w:rPr>
                    <w:t>profiline</w:t>
                  </w:r>
                  <w:proofErr w:type="gramEnd"/>
                  <w:r w:rsidRPr="003F0E98">
                    <w:rPr>
                      <w:rFonts w:ascii="Arial" w:eastAsia="ヒラギノ明朝 Pro W3" w:hAnsi="Arial" w:cs="Arial"/>
                      <w:sz w:val="20"/>
                      <w:szCs w:val="20"/>
                    </w:rPr>
                    <w:t xml:space="preserve"> ilişkin tipler, kişi özelinde dikkat edilmesi gereken hususlardır. İşlemlere ilişkin tipler ise müşteriden ziyade yapılmak istenen işlemin niteliğiyle ilgilidir. Terörün finansmanı ile bağlantılı şüpheli işlem tipleri ise, terörün finansmanı açısından gösterge teşkil edebilecek mahiyette ve yine tüm yükümlü gruplarınca dikkate alınması gereken şüpheli işlem tipleridir. </w:t>
                  </w:r>
                  <w:proofErr w:type="spellStart"/>
                  <w:r w:rsidRPr="003F0E98">
                    <w:rPr>
                      <w:rFonts w:ascii="Arial" w:eastAsia="ヒラギノ明朝 Pro W3" w:hAnsi="Arial" w:cs="Arial"/>
                      <w:sz w:val="20"/>
                      <w:szCs w:val="20"/>
                    </w:rPr>
                    <w:t>Sektörel</w:t>
                  </w:r>
                  <w:proofErr w:type="spellEnd"/>
                  <w:r w:rsidRPr="003F0E98">
                    <w:rPr>
                      <w:rFonts w:ascii="Arial" w:eastAsia="ヒラギノ明朝 Pro W3" w:hAnsi="Arial" w:cs="Arial"/>
                      <w:sz w:val="20"/>
                      <w:szCs w:val="20"/>
                    </w:rPr>
                    <w:t xml:space="preserve"> mahiyette şüpheli işlem tipleri belirlenmemiş yükümlü gruplarında, genel mahiyetteki ve terörün finansmanı ile bağlantılı şüpheli işlem tipleri esas alınır.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(3) Başkanlıkça belirlenen şüpheli işlem tipleri rehber mahiyetinde olup, yükümlülerin, şüpheli işlemlerin tespitinde kendilerini belirlenmiş olan şüpheli işlem tipleri ile sınırlandırmamaları; şüphe doğuran işlem, sayılan tiplerden herhangi birine uymasa dahi şüpheli işlem bildiriminde bulunmaları gerekir.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 xml:space="preserve">(4) İşlemlerin şüpheli işlem tiplerine uygunluğu değerlendirilirken Yönetmelikte yer alan müşterinin tanınmasına ilişkin esaslar göz önünde bulundurulmalı ve değerlendirme müşteri ve işlem bazında yapılmalıdır. Bu kapsamda, yapılmak istenen işlemle ilgili olarak müşteri </w:t>
                  </w:r>
                  <w:proofErr w:type="gramStart"/>
                  <w:r w:rsidRPr="003F0E98">
                    <w:rPr>
                      <w:rFonts w:ascii="Arial" w:eastAsia="ヒラギノ明朝 Pro W3" w:hAnsi="Arial" w:cs="Arial"/>
                      <w:sz w:val="20"/>
                      <w:szCs w:val="20"/>
                    </w:rPr>
                    <w:t>profili</w:t>
                  </w:r>
                  <w:proofErr w:type="gramEnd"/>
                  <w:r w:rsidRPr="003F0E98">
                    <w:rPr>
                      <w:rFonts w:ascii="Arial" w:eastAsia="ヒラギノ明朝 Pro W3" w:hAnsi="Arial" w:cs="Arial"/>
                      <w:sz w:val="20"/>
                      <w:szCs w:val="20"/>
                    </w:rPr>
                    <w:t>, faaliyet alanı, faaliyet hacmi, işlemin niteliği ile müşterinin bilinen faaliyetleri kapsamında veya faaliyeti ile orantılı olup olmadığı veya kimlere menfaat sağladığı, sektörün özellikleri ve daha önceki tecrübeler gibi hususlar dikkate alınmalıdır. Yapılmak istenen işlemin uluslararası niteliğinin bulunması durumunda ise bu işlemin müşterinin işinin bir parçası olup olmadığına özel dikkat gösterilmelidir.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lastRenderedPageBreak/>
                    <w:t>Uyum görevlisi atanması zorunlu olan yükümlülerde bildirim</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9 –</w:t>
                  </w:r>
                  <w:r w:rsidRPr="003F0E98">
                    <w:rPr>
                      <w:rFonts w:ascii="Arial" w:eastAsia="ヒラギノ明朝 Pro W3" w:hAnsi="Arial" w:cs="Arial"/>
                      <w:sz w:val="20"/>
                      <w:szCs w:val="20"/>
                    </w:rPr>
                    <w:t xml:space="preserve"> (1) </w:t>
                  </w:r>
                  <w:proofErr w:type="gramStart"/>
                  <w:r w:rsidRPr="003F0E98">
                    <w:rPr>
                      <w:rFonts w:ascii="Arial" w:eastAsia="ヒラギノ明朝 Pro W3" w:hAnsi="Arial" w:cs="Arial"/>
                      <w:sz w:val="20"/>
                      <w:szCs w:val="20"/>
                    </w:rPr>
                    <w:t>16/9/2008</w:t>
                  </w:r>
                  <w:proofErr w:type="gramEnd"/>
                  <w:r w:rsidRPr="003F0E98">
                    <w:rPr>
                      <w:rFonts w:ascii="Arial" w:eastAsia="ヒラギノ明朝 Pro W3" w:hAnsi="Arial" w:cs="Arial"/>
                      <w:sz w:val="20"/>
                      <w:szCs w:val="20"/>
                    </w:rPr>
                    <w:t xml:space="preserve"> tarihli ve 26999 sayılı Resmî </w:t>
                  </w:r>
                  <w:proofErr w:type="spellStart"/>
                  <w:r w:rsidRPr="003F0E98">
                    <w:rPr>
                      <w:rFonts w:ascii="Arial" w:eastAsia="ヒラギノ明朝 Pro W3" w:hAnsi="Arial" w:cs="Arial"/>
                      <w:sz w:val="20"/>
                      <w:szCs w:val="20"/>
                    </w:rPr>
                    <w:t>Gazete’de</w:t>
                  </w:r>
                  <w:proofErr w:type="spellEnd"/>
                  <w:r w:rsidRPr="003F0E98">
                    <w:rPr>
                      <w:rFonts w:ascii="Arial" w:eastAsia="ヒラギノ明朝 Pro W3" w:hAnsi="Arial" w:cs="Arial"/>
                      <w:sz w:val="20"/>
                      <w:szCs w:val="20"/>
                    </w:rPr>
                    <w:t xml:space="preserve"> yayımlanan Suç Gelirlerinin Aklanmasının ve Terörün Finansmanının Önlenmesine İlişkin Yükümlülere Uyum Programı Hakkında Yönetmeliğin 4 ve 29 uncu maddeleri uyarınca uyum görevlisi atamak zorunda olan yükümlüler ile bunların şube, acente, temsilci ve ticari vekilleri ile benzeri bağlı birimlerinin şüpheli işlem bildirim yükümlülüğü, uyum görevlisi tarafından yerine getirilir. Posta ve Telgraf Teşkilatı Anonim Şirketinin, şüpheli işlemleri uyum görevlisi aracılığıyla bildirim yükümlülüğü bankacılık faaliyetiyle sınırlı olup, diğer faaliyetleriyle ilgili olan şüpheli işlem bildirim yükümlülüğünün de uyum görevlisi vasıtasıyla yerine getirilmesi mümkündür.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(2) Uyum görevlisi, kendisine bildirilen veya resen öğrendiği şüpheli olabilecek işlemler hakkında, yetki ve imkânları ölçüsünde araştırma yaparak edindiği bilgi ve bulguları değerlendirmek ve şüpheli olduğuna karar verdiği işlemleri Başkanlığa bildirmekle görevli ve yetkilidir.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 xml:space="preserve">(3) Şüpheli işlemle karşılaşılması durumunda, söz konusu işlem yükümlü nezdinde (şube, acente, temsilci ve ticari vekilleri ile benzeri bağlı birimleri dahil) belirlenen dahili </w:t>
                  </w:r>
                  <w:proofErr w:type="gramStart"/>
                  <w:r w:rsidRPr="003F0E98">
                    <w:rPr>
                      <w:rFonts w:ascii="Arial" w:eastAsia="ヒラギノ明朝 Pro W3" w:hAnsi="Arial" w:cs="Arial"/>
                      <w:sz w:val="20"/>
                      <w:szCs w:val="20"/>
                    </w:rPr>
                    <w:t>prosedür</w:t>
                  </w:r>
                  <w:proofErr w:type="gramEnd"/>
                  <w:r w:rsidRPr="003F0E98">
                    <w:rPr>
                      <w:rFonts w:ascii="Arial" w:eastAsia="ヒラギノ明朝 Pro W3" w:hAnsi="Arial" w:cs="Arial"/>
                      <w:sz w:val="20"/>
                      <w:szCs w:val="20"/>
                    </w:rPr>
                    <w:t xml:space="preserve"> doğrultusunda uyum görevlisine bildirilir. </w:t>
                  </w:r>
                  <w:proofErr w:type="gramStart"/>
                  <w:r w:rsidRPr="003F0E98">
                    <w:rPr>
                      <w:rFonts w:ascii="Arial" w:eastAsia="ヒラギノ明朝 Pro W3" w:hAnsi="Arial" w:cs="Arial"/>
                      <w:sz w:val="20"/>
                      <w:szCs w:val="20"/>
                    </w:rPr>
                    <w:t>Dahili</w:t>
                  </w:r>
                  <w:proofErr w:type="gramEnd"/>
                  <w:r w:rsidRPr="003F0E98">
                    <w:rPr>
                      <w:rFonts w:ascii="Arial" w:eastAsia="ヒラギノ明朝 Pro W3" w:hAnsi="Arial" w:cs="Arial"/>
                      <w:sz w:val="20"/>
                      <w:szCs w:val="20"/>
                    </w:rPr>
                    <w:t xml:space="preserve"> bildirim kuralları yazılı olarak belirlenir ve tüm çalışanlarca bilinmesi sağlanır. Uyum görevlisine yapılacak bildirimlerin usulü serbestçe belirlenebilir. Ancak, sözlü bildirim bir usul olarak belirlenemez. Bu kapsamda e-posta veya </w:t>
                  </w:r>
                  <w:proofErr w:type="gramStart"/>
                  <w:r w:rsidRPr="003F0E98">
                    <w:rPr>
                      <w:rFonts w:ascii="Arial" w:eastAsia="ヒラギノ明朝 Pro W3" w:hAnsi="Arial" w:cs="Arial"/>
                      <w:sz w:val="20"/>
                      <w:szCs w:val="20"/>
                    </w:rPr>
                    <w:t>dahili</w:t>
                  </w:r>
                  <w:proofErr w:type="gramEnd"/>
                  <w:r w:rsidRPr="003F0E98">
                    <w:rPr>
                      <w:rFonts w:ascii="Arial" w:eastAsia="ヒラギノ明朝 Pro W3" w:hAnsi="Arial" w:cs="Arial"/>
                      <w:sz w:val="20"/>
                      <w:szCs w:val="20"/>
                    </w:rPr>
                    <w:t xml:space="preserve"> bildirime imkan veren yazılımlar kullanılabilir.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 xml:space="preserve">(4) Yükümlü nezdinde veya aracılığıyla yüz yüze olmayan işlemler yapılmasını mümkün kılan internet bankacılığı, telefon bankacılığı, ATM gibi interaktif uygulamalar kullanılarak yapılan işlemlerde veya izleme ve kontrol faaliyetleri sırasında şüpheli bir işlemin gerçekleştirildiğinin tespiti halinde, durum yine belirlenecek dahili </w:t>
                  </w:r>
                  <w:proofErr w:type="gramStart"/>
                  <w:r w:rsidRPr="003F0E98">
                    <w:rPr>
                      <w:rFonts w:ascii="Arial" w:eastAsia="ヒラギノ明朝 Pro W3" w:hAnsi="Arial" w:cs="Arial"/>
                      <w:sz w:val="20"/>
                      <w:szCs w:val="20"/>
                    </w:rPr>
                    <w:t>prosedür</w:t>
                  </w:r>
                  <w:proofErr w:type="gramEnd"/>
                  <w:r w:rsidRPr="003F0E98">
                    <w:rPr>
                      <w:rFonts w:ascii="Arial" w:eastAsia="ヒラギノ明朝 Pro W3" w:hAnsi="Arial" w:cs="Arial"/>
                      <w:sz w:val="20"/>
                      <w:szCs w:val="20"/>
                    </w:rPr>
                    <w:t xml:space="preserve"> doğrultusunda uyum görevlisine bildirilir. Bu durumda kimlik tespitinde, yükümlü bünyesinde mevcut bilgi ve belgeler esas alınır.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(5) Uyum görevlisi, kendisine bildirilen veya resen öğrendiği şüpheli işlemi, yükümlü bünyesinde mevcut diğer bilgi ve belgeler ile ilgili kanun, yönetmelik, tebliğ ve diğer mevzuatı göz önünde bulundurmak suretiyle değerlendirir. Uyum görevlisi, bu değerlendirme sürecinde, yükümlü bünyesindeki tüm birimlerden kendi görev alanı ile ilgili her türlü bilgi ve belgeyi talep edebilir. Bu kapsamda kendisinden bilgi ve belge istenen birimler de istenilen bilgi ve belgeleri vermek ve uyum görevlisine gerekli kolaylığı sağlamak zorundadır.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Uyum görevlisi atanması zorunluluğu bulunmayan yükümlülerde bildirim</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10 –</w:t>
                  </w:r>
                  <w:r w:rsidRPr="003F0E98">
                    <w:rPr>
                      <w:rFonts w:ascii="Arial" w:eastAsia="ヒラギノ明朝 Pro W3" w:hAnsi="Arial" w:cs="Arial"/>
                      <w:sz w:val="20"/>
                      <w:szCs w:val="20"/>
                    </w:rPr>
                    <w:t xml:space="preserve"> (1) Uyum görevlisi atanması zorunlu olmayan yükümlülerde şüpheli işlem bildirimi; gerçek kişi yükümlünün bizzat kendisi, tüzel kişi yükümlünün kanuni temsilcileri, tüzel kişiliği bulunmayan yükümlülerin ise yöneticileri veya bunlar tarafından yetkili kılınan görevlilerce ŞİB formu düzenlenmek suretiyle yerine getirilir.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(2) Uyum görevlisi atanması zorunluluğu bulunmayan yükümlüler ile bunların şube, acente, temsilci ve ticari vekilleri ile benzeri bağlı birimlerinde, şüphe niteliği itibariyle hangi birim nezdinde oluşuyorsa ilgili birim tarafından bildirilmesi esastır. Bu kapsamda, işlemlerin merkez birimlerince takip edilebildiği ve şüpheye vakıf olunduğu durumlarda, merkez birimler tarafından da bildirim yapılır.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(3) Merkezi yurt dışında bulunan kurum ve kuruluşların Türkiye’de faaliyet gösteren bağlı birimlerinin (şube, acente, temsilci gibi)  yükümlü olması durumunda, şüpheli işlemlere ilişkin bildirim bu birimler tarafından yerine getirilir.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ŞİB formlarının düzenlenmesi</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11 –</w:t>
                  </w:r>
                  <w:r w:rsidRPr="003F0E98">
                    <w:rPr>
                      <w:rFonts w:ascii="Arial" w:eastAsia="ヒラギノ明朝 Pro W3" w:hAnsi="Arial" w:cs="Arial"/>
                      <w:sz w:val="20"/>
                      <w:szCs w:val="20"/>
                    </w:rPr>
                    <w:t xml:space="preserve"> (1) Şüpheli işlem bildirimleri, yükümlüler itibariyle oluşturulan genel ve </w:t>
                  </w:r>
                  <w:proofErr w:type="spellStart"/>
                  <w:r w:rsidRPr="003F0E98">
                    <w:rPr>
                      <w:rFonts w:ascii="Arial" w:eastAsia="ヒラギノ明朝 Pro W3" w:hAnsi="Arial" w:cs="Arial"/>
                      <w:sz w:val="20"/>
                      <w:szCs w:val="20"/>
                    </w:rPr>
                    <w:t>sektörel</w:t>
                  </w:r>
                  <w:proofErr w:type="spellEnd"/>
                  <w:r w:rsidRPr="003F0E98">
                    <w:rPr>
                      <w:rFonts w:ascii="Arial" w:eastAsia="ヒラギノ明朝 Pro W3" w:hAnsi="Arial" w:cs="Arial"/>
                      <w:sz w:val="20"/>
                      <w:szCs w:val="20"/>
                    </w:rPr>
                    <w:t xml:space="preserve"> şüpheli işlem bildirim rehberleri ekinde yer alan ŞİB formu kullanılarak yapılır. ŞİB formu asgari olarak formu düzenleyen yükümlüye, yapılan bildirime, şüpheli işlem ile ilgili gerçek ve tüzel kişilere ve bildirime konu işleme ilişkin bilgileri içerir. Elektronik veya </w:t>
                  </w:r>
                  <w:proofErr w:type="gramStart"/>
                  <w:r w:rsidRPr="003F0E98">
                    <w:rPr>
                      <w:rFonts w:ascii="Arial" w:eastAsia="ヒラギノ明朝 Pro W3" w:hAnsi="Arial" w:cs="Arial"/>
                      <w:sz w:val="20"/>
                      <w:szCs w:val="20"/>
                    </w:rPr>
                    <w:t>kağıt</w:t>
                  </w:r>
                  <w:proofErr w:type="gramEnd"/>
                  <w:r w:rsidRPr="003F0E98">
                    <w:rPr>
                      <w:rFonts w:ascii="Arial" w:eastAsia="ヒラギノ明朝 Pro W3" w:hAnsi="Arial" w:cs="Arial"/>
                      <w:sz w:val="20"/>
                      <w:szCs w:val="20"/>
                    </w:rPr>
                    <w:t xml:space="preserve"> ortamındaki bildirimlerde kullanılacak ŞİB formlarının ne şekilde düzenleneceğine ilgili rehberlerde yer verilir. Düzenlenen ŞİB formu ile birlikte varsa ilave bilgi ve belgeler de forma ek yapılarak Başkanlığa gönderilir.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ŞİB formlarının elden veya postayla gönderilmesi</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12 –</w:t>
                  </w:r>
                  <w:r w:rsidRPr="003F0E98">
                    <w:rPr>
                      <w:rFonts w:ascii="Arial" w:eastAsia="ヒラギノ明朝 Pro W3" w:hAnsi="Arial" w:cs="Arial"/>
                      <w:sz w:val="20"/>
                      <w:szCs w:val="20"/>
                    </w:rPr>
                    <w:t xml:space="preserve"> (1) ŞİB formu, elden teslim edilebileceği gibi taahhütlü posta veya faks yolu ile de Başkanlığa gönderilebilir. Taahhütlü posta veya faks yolu ile Başkanlığa yapılacak bildirimler Başkanlığın resmi internet sitesinde yer alan posta adresine ve faks numarasına yapılır. Faksla gönderilen ŞİB formunun aslı, taahhütlü posta yoluyla ya da elden Başkanlığa intikal ettirilir.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 xml:space="preserve">(2) Şüpheli işlem bildiriminde bulunan yükümlülere Başkanlıkça, bildirimin kayda </w:t>
                  </w:r>
                  <w:r w:rsidRPr="003F0E98">
                    <w:rPr>
                      <w:rFonts w:ascii="Arial" w:eastAsia="ヒラギノ明朝 Pro W3" w:hAnsi="Arial" w:cs="Arial"/>
                      <w:sz w:val="20"/>
                      <w:szCs w:val="20"/>
                    </w:rPr>
                    <w:lastRenderedPageBreak/>
                    <w:t>alındığına dair bilgi verilir.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ŞİB formlarının elektronik yoldan gönderilmesi</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13 –</w:t>
                  </w:r>
                  <w:r w:rsidRPr="003F0E98">
                    <w:rPr>
                      <w:rFonts w:ascii="Arial" w:eastAsia="ヒラギノ明朝 Pro W3" w:hAnsi="Arial" w:cs="Arial"/>
                      <w:sz w:val="20"/>
                      <w:szCs w:val="20"/>
                    </w:rPr>
                    <w:t xml:space="preserve"> (1) Elektronik ortamda şüpheli işlem bildirimi </w:t>
                  </w:r>
                  <w:proofErr w:type="gramStart"/>
                  <w:r w:rsidRPr="003F0E98">
                    <w:rPr>
                      <w:rFonts w:ascii="Arial" w:eastAsia="ヒラギノ明朝 Pro W3" w:hAnsi="Arial" w:cs="Arial"/>
                      <w:sz w:val="20"/>
                      <w:szCs w:val="20"/>
                    </w:rPr>
                    <w:t>MASAK.ONLINE</w:t>
                  </w:r>
                  <w:proofErr w:type="gramEnd"/>
                  <w:r w:rsidRPr="003F0E98">
                    <w:rPr>
                      <w:rFonts w:ascii="Arial" w:eastAsia="ヒラギノ明朝 Pro W3" w:hAnsi="Arial" w:cs="Arial"/>
                      <w:sz w:val="20"/>
                      <w:szCs w:val="20"/>
                    </w:rPr>
                    <w:t xml:space="preserve"> sistemi kullanılarak yapılır.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 xml:space="preserve">(2) Şüpheli işlem bildirimini elektronik ortamda yapmakla zorunlu tutulan yükümlüler ile uygulamanın başlangıç tarihleri Başkanlıkça belirlenir. Bu yükümlülerin </w:t>
                  </w:r>
                  <w:proofErr w:type="gramStart"/>
                  <w:r w:rsidRPr="003F0E98">
                    <w:rPr>
                      <w:rFonts w:ascii="Arial" w:eastAsia="ヒラギノ明朝 Pro W3" w:hAnsi="Arial" w:cs="Arial"/>
                      <w:sz w:val="20"/>
                      <w:szCs w:val="20"/>
                    </w:rPr>
                    <w:t>MASAK.ONLINE</w:t>
                  </w:r>
                  <w:proofErr w:type="gramEnd"/>
                  <w:r w:rsidRPr="003F0E98">
                    <w:rPr>
                      <w:rFonts w:ascii="Arial" w:eastAsia="ヒラギノ明朝 Pro W3" w:hAnsi="Arial" w:cs="Arial"/>
                      <w:sz w:val="20"/>
                      <w:szCs w:val="20"/>
                    </w:rPr>
                    <w:t xml:space="preserve"> sistemine erişimine ve sistemin kullanılmasına ilişkin usul ve esaslara Başkanlıkça yayımlanan rehberlerde yer verilir.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 xml:space="preserve">(3) Bildirimlerini elektronik olarak yapmaya zorunlu tutulan yükümlüler dışındaki yükümlülerden Başkanlıkça uygun görülenler de elektronik ortamda şüpheli işlem bildiriminde bulunabilirler. Elektronik ortamda şüpheli işlem bildiriminde bulunmak isteyen yükümlülerin Başkanlığa başvurularına ve </w:t>
                  </w:r>
                  <w:proofErr w:type="gramStart"/>
                  <w:r w:rsidRPr="003F0E98">
                    <w:rPr>
                      <w:rFonts w:ascii="Arial" w:eastAsia="ヒラギノ明朝 Pro W3" w:hAnsi="Arial" w:cs="Arial"/>
                      <w:sz w:val="20"/>
                      <w:szCs w:val="20"/>
                    </w:rPr>
                    <w:t>MASAK.ONLINE</w:t>
                  </w:r>
                  <w:proofErr w:type="gramEnd"/>
                  <w:r w:rsidRPr="003F0E98">
                    <w:rPr>
                      <w:rFonts w:ascii="Arial" w:eastAsia="ヒラギノ明朝 Pro W3" w:hAnsi="Arial" w:cs="Arial"/>
                      <w:sz w:val="20"/>
                      <w:szCs w:val="20"/>
                    </w:rPr>
                    <w:t xml:space="preserve"> sistemi kullanılarak elektronik ortamda ŞİB formu düzenlemelerine ilişkin şekil, süre ve içerik bilgileri Başkanlıkça çıkarılacak rehberlerle belirlenir. Kendilerine elektronik ortamda ŞİB formu düzenleme imkanı verilen yükümlüler izin tarihinden itibaren şüpheli işlem bildirimlerini elektronik olarak </w:t>
                  </w:r>
                  <w:proofErr w:type="gramStart"/>
                  <w:r w:rsidRPr="003F0E98">
                    <w:rPr>
                      <w:rFonts w:ascii="Arial" w:eastAsia="ヒラギノ明朝 Pro W3" w:hAnsi="Arial" w:cs="Arial"/>
                      <w:sz w:val="20"/>
                      <w:szCs w:val="20"/>
                    </w:rPr>
                    <w:t>MASAK.ONLINE</w:t>
                  </w:r>
                  <w:proofErr w:type="gramEnd"/>
                  <w:r w:rsidRPr="003F0E98">
                    <w:rPr>
                      <w:rFonts w:ascii="Arial" w:eastAsia="ヒラギノ明朝 Pro W3" w:hAnsi="Arial" w:cs="Arial"/>
                      <w:sz w:val="20"/>
                      <w:szCs w:val="20"/>
                    </w:rPr>
                    <w:t xml:space="preserve"> üzerinden yapmak zorundadırlar. Söz konusu yükümlüler bu tarihten sonra </w:t>
                  </w:r>
                  <w:proofErr w:type="gramStart"/>
                  <w:r w:rsidRPr="003F0E98">
                    <w:rPr>
                      <w:rFonts w:ascii="Arial" w:eastAsia="ヒラギノ明朝 Pro W3" w:hAnsi="Arial" w:cs="Arial"/>
                      <w:sz w:val="20"/>
                      <w:szCs w:val="20"/>
                    </w:rPr>
                    <w:t>kağıt</w:t>
                  </w:r>
                  <w:proofErr w:type="gramEnd"/>
                  <w:r w:rsidRPr="003F0E98">
                    <w:rPr>
                      <w:rFonts w:ascii="Arial" w:eastAsia="ヒラギノ明朝 Pro W3" w:hAnsi="Arial" w:cs="Arial"/>
                      <w:sz w:val="20"/>
                      <w:szCs w:val="20"/>
                    </w:rPr>
                    <w:t xml:space="preserve"> ortamında bildirimde bulunamazlar.</w:t>
                  </w:r>
                </w:p>
                <w:p w:rsid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sz w:val="20"/>
                      <w:szCs w:val="20"/>
                    </w:rPr>
                    <w:t>(4) Elektronik yoldan bildirimin teknik nedenlerle yapılamaması halinde bildirim, elektronik ortamda gönderilememe nedeni belirtilmek suretiyle ilgili rehber ekinde yer alan form kullanılarak Başkanlığa elden, posta yolu veya faks ile yapılır. Bu şekilde gönderilen ŞİB formu, sistem işler duruma geldiğinde elektronik ortamda derhal gönderilir.</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p>
                <w:p w:rsidR="003F0E98" w:rsidRPr="003F0E98" w:rsidRDefault="003F0E98" w:rsidP="003F0E98">
                  <w:pPr>
                    <w:spacing w:after="0" w:line="240" w:lineRule="exact"/>
                    <w:jc w:val="center"/>
                    <w:rPr>
                      <w:rFonts w:ascii="Arial" w:eastAsia="ヒラギノ明朝 Pro W3" w:hAnsi="Arial" w:cs="Arial"/>
                      <w:b/>
                      <w:sz w:val="20"/>
                      <w:szCs w:val="20"/>
                    </w:rPr>
                  </w:pPr>
                  <w:r w:rsidRPr="003F0E98">
                    <w:rPr>
                      <w:rFonts w:ascii="Arial" w:eastAsia="ヒラギノ明朝 Pro W3" w:hAnsi="Arial" w:cs="Arial"/>
                      <w:b/>
                      <w:sz w:val="20"/>
                      <w:szCs w:val="20"/>
                    </w:rPr>
                    <w:t>ÜÇÜNCÜ BÖLÜM</w:t>
                  </w:r>
                </w:p>
                <w:p w:rsidR="003F0E98" w:rsidRPr="003F0E98" w:rsidRDefault="003F0E98" w:rsidP="003F0E98">
                  <w:pPr>
                    <w:spacing w:after="0" w:line="240" w:lineRule="exact"/>
                    <w:jc w:val="center"/>
                    <w:rPr>
                      <w:rFonts w:ascii="Arial" w:eastAsia="ヒラギノ明朝 Pro W3" w:hAnsi="Arial" w:cs="Arial"/>
                      <w:b/>
                      <w:sz w:val="20"/>
                      <w:szCs w:val="20"/>
                    </w:rPr>
                  </w:pPr>
                  <w:r w:rsidRPr="003F0E98">
                    <w:rPr>
                      <w:rFonts w:ascii="Arial" w:eastAsia="ヒラギノ明朝 Pro W3" w:hAnsi="Arial" w:cs="Arial"/>
                      <w:b/>
                      <w:sz w:val="20"/>
                      <w:szCs w:val="20"/>
                    </w:rPr>
                    <w:t>Çeşitli ve Son Hükümler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Yükümlülük ihlalinde uygulanacak ceza</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14 –</w:t>
                  </w:r>
                  <w:r w:rsidRPr="003F0E98">
                    <w:rPr>
                      <w:rFonts w:ascii="Arial" w:eastAsia="ヒラギノ明朝 Pro W3" w:hAnsi="Arial" w:cs="Arial"/>
                      <w:sz w:val="20"/>
                      <w:szCs w:val="20"/>
                    </w:rPr>
                    <w:t xml:space="preserve"> (1) Yükümlülerce, </w:t>
                  </w:r>
                  <w:proofErr w:type="gramStart"/>
                  <w:r w:rsidRPr="003F0E98">
                    <w:rPr>
                      <w:rFonts w:ascii="Arial" w:eastAsia="ヒラギノ明朝 Pro W3" w:hAnsi="Arial" w:cs="Arial"/>
                      <w:sz w:val="20"/>
                      <w:szCs w:val="20"/>
                    </w:rPr>
                    <w:t>11/10/2006</w:t>
                  </w:r>
                  <w:proofErr w:type="gramEnd"/>
                  <w:r w:rsidRPr="003F0E98">
                    <w:rPr>
                      <w:rFonts w:ascii="Arial" w:eastAsia="ヒラギノ明朝 Pro W3" w:hAnsi="Arial" w:cs="Arial"/>
                      <w:sz w:val="20"/>
                      <w:szCs w:val="20"/>
                    </w:rPr>
                    <w:t xml:space="preserve"> tarihli ve 5549 sayılı Suç Gelirlerinin Aklanmasının Önlenmesi Hakkında Kanunun 4 üncü maddesinin birinci fıkrasında yer alan bildirim yükümlülüğüne, ikinci fıkrasında yer alan gizlilik hükümlerine ve bu Tebliğle getirilen hususlara riayet edilmemesi halinde mezkur Kanunda öngörülen cezalar uygulanacaktır.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Yürürlükten kaldırılan tebliğ</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15 –</w:t>
                  </w:r>
                  <w:r w:rsidRPr="003F0E98">
                    <w:rPr>
                      <w:rFonts w:ascii="Arial" w:eastAsia="ヒラギノ明朝 Pro W3" w:hAnsi="Arial" w:cs="Arial"/>
                      <w:sz w:val="20"/>
                      <w:szCs w:val="20"/>
                    </w:rPr>
                    <w:t xml:space="preserve"> (1) </w:t>
                  </w:r>
                  <w:proofErr w:type="gramStart"/>
                  <w:r w:rsidRPr="003F0E98">
                    <w:rPr>
                      <w:rFonts w:ascii="Arial" w:eastAsia="ヒラギノ明朝 Pro W3" w:hAnsi="Arial" w:cs="Arial"/>
                      <w:sz w:val="20"/>
                      <w:szCs w:val="20"/>
                    </w:rPr>
                    <w:t>27/9/2008</w:t>
                  </w:r>
                  <w:proofErr w:type="gramEnd"/>
                  <w:r w:rsidRPr="003F0E98">
                    <w:rPr>
                      <w:rFonts w:ascii="Arial" w:eastAsia="ヒラギノ明朝 Pro W3" w:hAnsi="Arial" w:cs="Arial"/>
                      <w:sz w:val="20"/>
                      <w:szCs w:val="20"/>
                    </w:rPr>
                    <w:t xml:space="preserve"> tarihli ve 27010 sayılı Resmî </w:t>
                  </w:r>
                  <w:proofErr w:type="spellStart"/>
                  <w:r w:rsidRPr="003F0E98">
                    <w:rPr>
                      <w:rFonts w:ascii="Arial" w:eastAsia="ヒラギノ明朝 Pro W3" w:hAnsi="Arial" w:cs="Arial"/>
                      <w:sz w:val="20"/>
                      <w:szCs w:val="20"/>
                    </w:rPr>
                    <w:t>Gazete’de</w:t>
                  </w:r>
                  <w:proofErr w:type="spellEnd"/>
                  <w:r w:rsidRPr="003F0E98">
                    <w:rPr>
                      <w:rFonts w:ascii="Arial" w:eastAsia="ヒラギノ明朝 Pro W3" w:hAnsi="Arial" w:cs="Arial"/>
                      <w:sz w:val="20"/>
                      <w:szCs w:val="20"/>
                    </w:rPr>
                    <w:t xml:space="preserve"> yayımlanan Mali Suçları Araştırma Kurulu Genel Tebliği (Sıra No: 6) yürürlükten kaldırılmıştır.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Geçiş hükümleri</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GEÇİCİ MADDE 1 –</w:t>
                  </w:r>
                  <w:r w:rsidRPr="003F0E98">
                    <w:rPr>
                      <w:rFonts w:ascii="Arial" w:eastAsia="ヒラギノ明朝 Pro W3" w:hAnsi="Arial" w:cs="Arial"/>
                      <w:sz w:val="20"/>
                      <w:szCs w:val="20"/>
                    </w:rPr>
                    <w:t xml:space="preserve"> (1) Mali Suçları Araştırma Kurulu Genel Tebliği (Sıra No: 6) ile elektronik ortamda şüpheli işlem bildirimi zorunluluğu getirilen bankalar için iş bu Tebliğin yürürlüğe girdiği tarihte Başkanlığın resmi internet sitesi ile </w:t>
                  </w:r>
                  <w:proofErr w:type="gramStart"/>
                  <w:r w:rsidRPr="003F0E98">
                    <w:rPr>
                      <w:rFonts w:ascii="Arial" w:eastAsia="ヒラギノ明朝 Pro W3" w:hAnsi="Arial" w:cs="Arial"/>
                      <w:sz w:val="20"/>
                      <w:szCs w:val="20"/>
                    </w:rPr>
                    <w:t>MASAK.ONLINE</w:t>
                  </w:r>
                  <w:proofErr w:type="gramEnd"/>
                  <w:r w:rsidRPr="003F0E98">
                    <w:rPr>
                      <w:rFonts w:ascii="Arial" w:eastAsia="ヒラギノ明朝 Pro W3" w:hAnsi="Arial" w:cs="Arial"/>
                      <w:sz w:val="20"/>
                      <w:szCs w:val="20"/>
                    </w:rPr>
                    <w:t xml:space="preserve"> sisteminde yayımlanan rehberler esas alınır.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Yürürlük</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16 –</w:t>
                  </w:r>
                  <w:r w:rsidRPr="003F0E98">
                    <w:rPr>
                      <w:rFonts w:ascii="Arial" w:eastAsia="ヒラギノ明朝 Pro W3" w:hAnsi="Arial" w:cs="Arial"/>
                      <w:sz w:val="20"/>
                      <w:szCs w:val="20"/>
                    </w:rPr>
                    <w:t xml:space="preserve"> (1) Bu Tebliğ yayımı tarihinde yürürlüğe girer.</w:t>
                  </w:r>
                </w:p>
                <w:p w:rsidR="003F0E98" w:rsidRPr="003F0E98" w:rsidRDefault="003F0E98" w:rsidP="003F0E98">
                  <w:pPr>
                    <w:tabs>
                      <w:tab w:val="left" w:pos="566"/>
                    </w:tabs>
                    <w:spacing w:after="0" w:line="240" w:lineRule="exact"/>
                    <w:ind w:firstLine="566"/>
                    <w:jc w:val="both"/>
                    <w:rPr>
                      <w:rFonts w:ascii="Arial" w:eastAsia="ヒラギノ明朝 Pro W3" w:hAnsi="Arial" w:cs="Arial"/>
                      <w:b/>
                      <w:sz w:val="20"/>
                      <w:szCs w:val="20"/>
                    </w:rPr>
                  </w:pPr>
                  <w:r w:rsidRPr="003F0E98">
                    <w:rPr>
                      <w:rFonts w:ascii="Arial" w:eastAsia="ヒラギノ明朝 Pro W3" w:hAnsi="Arial" w:cs="Arial"/>
                      <w:b/>
                      <w:sz w:val="20"/>
                      <w:szCs w:val="20"/>
                    </w:rPr>
                    <w:t>Yürütme</w:t>
                  </w:r>
                </w:p>
                <w:p w:rsidR="003F0E98" w:rsidRPr="003F0E98" w:rsidRDefault="003F0E98" w:rsidP="003F0E98">
                  <w:pPr>
                    <w:tabs>
                      <w:tab w:val="left" w:pos="566"/>
                    </w:tabs>
                    <w:spacing w:after="0" w:line="240" w:lineRule="exact"/>
                    <w:ind w:firstLine="566"/>
                    <w:jc w:val="both"/>
                    <w:rPr>
                      <w:rFonts w:ascii="Arial" w:eastAsia="ヒラギノ明朝 Pro W3" w:hAnsi="Arial" w:cs="Arial"/>
                      <w:sz w:val="20"/>
                      <w:szCs w:val="20"/>
                    </w:rPr>
                  </w:pPr>
                  <w:r w:rsidRPr="003F0E98">
                    <w:rPr>
                      <w:rFonts w:ascii="Arial" w:eastAsia="ヒラギノ明朝 Pro W3" w:hAnsi="Arial" w:cs="Arial"/>
                      <w:b/>
                      <w:sz w:val="20"/>
                      <w:szCs w:val="20"/>
                    </w:rPr>
                    <w:t>MADDE 17 –</w:t>
                  </w:r>
                  <w:r w:rsidRPr="003F0E98">
                    <w:rPr>
                      <w:rFonts w:ascii="Arial" w:eastAsia="ヒラギノ明朝 Pro W3" w:hAnsi="Arial" w:cs="Arial"/>
                      <w:sz w:val="20"/>
                      <w:szCs w:val="20"/>
                    </w:rPr>
                    <w:t xml:space="preserve"> (1) Bu Tebliğ hükümlerini Maliye Bakanı yürütür.</w:t>
                  </w:r>
                </w:p>
                <w:p w:rsidR="003F0E98" w:rsidRPr="003F0E98" w:rsidRDefault="003F0E98" w:rsidP="003F0E98">
                  <w:pPr>
                    <w:spacing w:before="100" w:beforeAutospacing="1" w:after="100" w:afterAutospacing="1" w:line="240" w:lineRule="auto"/>
                    <w:jc w:val="center"/>
                    <w:rPr>
                      <w:rFonts w:ascii="Arial" w:eastAsia="Times New Roman" w:hAnsi="Arial" w:cs="Arial"/>
                      <w:b/>
                      <w:color w:val="000080"/>
                      <w:sz w:val="20"/>
                      <w:szCs w:val="20"/>
                      <w:lang w:eastAsia="tr-TR"/>
                    </w:rPr>
                  </w:pPr>
                </w:p>
              </w:tc>
            </w:tr>
          </w:tbl>
          <w:p w:rsidR="003F0E98" w:rsidRPr="003F0E98" w:rsidRDefault="003F0E98" w:rsidP="003F0E98">
            <w:pPr>
              <w:spacing w:after="0" w:line="240" w:lineRule="auto"/>
              <w:jc w:val="center"/>
              <w:rPr>
                <w:rFonts w:ascii="Arial" w:eastAsia="Times New Roman" w:hAnsi="Arial" w:cs="Arial"/>
                <w:sz w:val="20"/>
                <w:szCs w:val="20"/>
                <w:lang w:eastAsia="tr-TR"/>
              </w:rPr>
            </w:pPr>
          </w:p>
        </w:tc>
      </w:tr>
    </w:tbl>
    <w:p w:rsidR="003F0E98" w:rsidRPr="003F0E98" w:rsidRDefault="003F0E98" w:rsidP="003F0E98">
      <w:pPr>
        <w:spacing w:after="0" w:line="240" w:lineRule="auto"/>
        <w:jc w:val="center"/>
        <w:rPr>
          <w:rFonts w:ascii="Arial" w:eastAsia="Times New Roman" w:hAnsi="Arial" w:cs="Arial"/>
          <w:sz w:val="20"/>
          <w:szCs w:val="20"/>
          <w:lang w:eastAsia="tr-TR"/>
        </w:rPr>
      </w:pPr>
    </w:p>
    <w:p w:rsidR="00D52B53" w:rsidRPr="003F0E98" w:rsidRDefault="00D52B53">
      <w:pPr>
        <w:rPr>
          <w:rFonts w:ascii="Arial" w:hAnsi="Arial" w:cs="Arial"/>
          <w:sz w:val="20"/>
          <w:szCs w:val="20"/>
        </w:rPr>
      </w:pPr>
    </w:p>
    <w:sectPr w:rsidR="00D52B53" w:rsidRPr="003F0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98"/>
    <w:rsid w:val="000E14A7"/>
    <w:rsid w:val="003F0E98"/>
    <w:rsid w:val="005F2D7B"/>
    <w:rsid w:val="00AA0FB7"/>
    <w:rsid w:val="00D52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F0E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3F0E9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3F0E9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3F0E98"/>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F0E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3F0E9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3F0E9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3F0E98"/>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60969">
      <w:bodyDiv w:val="1"/>
      <w:marLeft w:val="0"/>
      <w:marRight w:val="0"/>
      <w:marTop w:val="0"/>
      <w:marBottom w:val="0"/>
      <w:divBdr>
        <w:top w:val="none" w:sz="0" w:space="0" w:color="auto"/>
        <w:left w:val="none" w:sz="0" w:space="0" w:color="auto"/>
        <w:bottom w:val="none" w:sz="0" w:space="0" w:color="auto"/>
        <w:right w:val="none" w:sz="0" w:space="0" w:color="auto"/>
      </w:divBdr>
      <w:divsChild>
        <w:div w:id="1619873359">
          <w:marLeft w:val="0"/>
          <w:marRight w:val="0"/>
          <w:marTop w:val="0"/>
          <w:marBottom w:val="0"/>
          <w:divBdr>
            <w:top w:val="none" w:sz="0" w:space="0" w:color="auto"/>
            <w:left w:val="none" w:sz="0" w:space="0" w:color="auto"/>
            <w:bottom w:val="none" w:sz="0" w:space="0" w:color="auto"/>
            <w:right w:val="none" w:sz="0" w:space="0" w:color="auto"/>
          </w:divBdr>
          <w:divsChild>
            <w:div w:id="8841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2302</Words>
  <Characters>13127</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Pakize BOLAT</cp:lastModifiedBy>
  <cp:revision>2</cp:revision>
  <dcterms:created xsi:type="dcterms:W3CDTF">2014-08-25T13:02:00Z</dcterms:created>
  <dcterms:modified xsi:type="dcterms:W3CDTF">2014-08-25T13:02:00Z</dcterms:modified>
</cp:coreProperties>
</file>