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92" w:rsidRPr="003B6015" w:rsidRDefault="00817E92"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eastAsiaTheme="minorEastAsia" w:hAnsiTheme="minorHAnsi" w:cstheme="minorHAnsi"/>
          <w:noProof/>
          <w:sz w:val="22"/>
          <w:lang w:eastAsia="tr-TR"/>
        </w:rPr>
        <mc:AlternateContent>
          <mc:Choice Requires="wps">
            <w:drawing>
              <wp:anchor distT="0" distB="0" distL="114300" distR="114300" simplePos="0" relativeHeight="251661312" behindDoc="1" locked="0" layoutInCell="1" allowOverlap="1" wp14:anchorId="7BA17899" wp14:editId="7C9C7765">
                <wp:simplePos x="0" y="0"/>
                <wp:positionH relativeFrom="margin">
                  <wp:posOffset>-95885</wp:posOffset>
                </wp:positionH>
                <wp:positionV relativeFrom="paragraph">
                  <wp:posOffset>-510540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5pt;margin-top:-40.2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" fillcolor="#f79646" stroked="f" strokeweight="0">
                <v:fill color2="#e16b0a" focusposition=".5,.5" focussize="" focus="100%" type="gradientRadial"/>
                <v:shadow on="t" color="#984807" offset="1pt"/>
                <v:textbo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3B6015" w:rsidRPr="003B6015">
        <w:rPr>
          <w:rFonts w:asciiTheme="minorHAnsi" w:hAnsiTheme="minorHAnsi" w:cstheme="minorHAnsi"/>
          <w:b/>
          <w:color w:val="FFC000"/>
          <w:sz w:val="22"/>
        </w:rPr>
        <w:t>AVANTAJLAR</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VERGİSEL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payları kanunen kabul edilen giderler arasında sayılmaktadır. </w:t>
      </w: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Her bir çalışan için kurumlar vergisi matrahından indirebilecek tutar, ilgili çalışanın brüt aylık gelirinin %15’ini ve brüt asgari ücretin yıllık tutarını aşamayacaktır.</w:t>
      </w:r>
    </w:p>
    <w:p w:rsidR="003B6015" w:rsidRPr="003B6015" w:rsidRDefault="003B6015" w:rsidP="003B6015">
      <w:pPr>
        <w:pStyle w:val="ListeParagraf"/>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Emeklilik yatırım fonlarının elde ettikleri kazançlar üzerinden gelir vergi kesintisi yapılmamaktadır.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DİĞER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payının, aylık asgari ücretin %30’una kadar olan kısmı sosyal güvenlik primine esas kazanca tabi tutulmamaktadır. </w:t>
      </w:r>
    </w:p>
    <w:p w:rsidR="003B6015" w:rsidRPr="003B6015" w:rsidRDefault="003B6015" w:rsidP="003B6015">
      <w:pPr>
        <w:pStyle w:val="ListeParagraf"/>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Hak kazanma süresi yedi yıldan fazla olamaz. Katılımcının işinden ayrılması veya grup emeklilik planından çıkması durumunda, katılımcı tarafından hak kazanılmayan tutarlar işverene ödenmektedir. Mevzuatta belirlenen istisnai durumlarda, bu ödeme katılımcıya da yapılabilir.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ESNEKLİK</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8"/>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Yılda 4 defa emeklilik planı, 6 defa fon dağılımı ve (sözleşmenin akdedildiği tarihi müteakip en az iki yıl geçmesi şartıyla) 1 defa emeklilik şirketi değiştirilebilmektedir.</w:t>
      </w:r>
    </w:p>
    <w:p w:rsidR="00E119F9" w:rsidRPr="003B6015" w:rsidRDefault="00E119F9" w:rsidP="00817E92">
      <w:pPr>
        <w:autoSpaceDE w:val="0"/>
        <w:autoSpaceDN w:val="0"/>
        <w:adjustRightInd w:val="0"/>
        <w:spacing w:after="0" w:line="240" w:lineRule="auto"/>
        <w:jc w:val="both"/>
        <w:rPr>
          <w:rFonts w:cstheme="minorHAnsi"/>
        </w:rPr>
      </w:pPr>
    </w:p>
    <w:p w:rsidR="00BF672E" w:rsidRP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KESİNTİLER</w:t>
      </w:r>
    </w:p>
    <w:p w:rsidR="003B6015" w:rsidRDefault="003B6015" w:rsidP="003B6015">
      <w:pPr>
        <w:autoSpaceDE w:val="0"/>
        <w:autoSpaceDN w:val="0"/>
        <w:adjustRightInd w:val="0"/>
        <w:spacing w:after="0" w:line="240" w:lineRule="auto"/>
        <w:rPr>
          <w:rFonts w:cstheme="minorHAnsi"/>
          <w:b/>
          <w:color w:val="FFC000"/>
        </w:rPr>
      </w:pPr>
    </w:p>
    <w:p w:rsidR="003B6015" w:rsidRPr="003B6015" w:rsidRDefault="003B6015" w:rsidP="003B6015">
      <w:pPr>
        <w:autoSpaceDE w:val="0"/>
        <w:autoSpaceDN w:val="0"/>
        <w:adjustRightInd w:val="0"/>
        <w:spacing w:after="0" w:line="240" w:lineRule="auto"/>
        <w:rPr>
          <w:rFonts w:cstheme="minorHAnsi"/>
          <w:b/>
        </w:rPr>
      </w:pPr>
      <w:r w:rsidRPr="003B6015">
        <w:rPr>
          <w:rFonts w:cstheme="minorHAnsi"/>
          <w:b/>
          <w:color w:val="FFC000"/>
        </w:rPr>
        <w:t>MASRAF PAYI</w:t>
      </w:r>
    </w:p>
    <w:p w:rsidR="003B6015" w:rsidRPr="003B6015" w:rsidRDefault="003B6015" w:rsidP="003B6015">
      <w:pPr>
        <w:autoSpaceDE w:val="0"/>
        <w:autoSpaceDN w:val="0"/>
        <w:adjustRightInd w:val="0"/>
        <w:spacing w:after="0" w:line="240" w:lineRule="auto"/>
        <w:rPr>
          <w:rFonts w:cstheme="minorHAnsi"/>
        </w:rPr>
      </w:pP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Katkı payı ödemeye ara verilirse, birikim veya katkı payları üzerinden, çalışanların hesabındaki birikim</w:t>
      </w:r>
      <w:r>
        <w:rPr>
          <w:rFonts w:asciiTheme="minorHAnsi" w:hAnsiTheme="minorHAnsi" w:cstheme="minorHAnsi"/>
          <w:sz w:val="22"/>
        </w:rPr>
        <w:t xml:space="preserve">lerden Yönetim Gider Kesintisi </w:t>
      </w:r>
      <w:r w:rsidRPr="003B6015">
        <w:rPr>
          <w:rFonts w:asciiTheme="minorHAnsi" w:hAnsiTheme="minorHAnsi" w:cstheme="minorHAnsi"/>
          <w:sz w:val="22"/>
        </w:rPr>
        <w:t>yapılabilir.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 yıldan fazla ödemeye ara verilirse bireysel emeklilik hesabına ilişkin olarak emeklilik gözetim merkezine şirket tarafından ödenen sabit giderler için masraf kesintisi yapılabilir.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Fon varlıklarından günlük olarak Fon Toplam Gider Kesintisi yapılacaktır.</w:t>
      </w:r>
    </w:p>
    <w:p w:rsidR="003B6015" w:rsidRPr="003B6015" w:rsidRDefault="003B6015" w:rsidP="003B6015">
      <w:pPr>
        <w:pStyle w:val="ListeParagraf"/>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Dahil olunacak emeklilik planında Giriş Aidatı kesintisi bulunabilir. Bu durumda, söz konusu kesinti emeklilik sözleşmesi kapsamında işverenden tahsil edilir.</w:t>
      </w:r>
    </w:p>
    <w:p w:rsidR="003B6015" w:rsidRPr="003B6015" w:rsidRDefault="003B6015" w:rsidP="003B6015">
      <w:pPr>
        <w:autoSpaceDE w:val="0"/>
        <w:autoSpaceDN w:val="0"/>
        <w:adjustRightInd w:val="0"/>
        <w:spacing w:after="0" w:line="240" w:lineRule="auto"/>
        <w:ind w:left="142"/>
        <w:jc w:val="both"/>
        <w:rPr>
          <w:rFonts w:cstheme="minorHAnsi"/>
        </w:rPr>
      </w:pPr>
      <w:r>
        <w:rPr>
          <w:rFonts w:cstheme="minorHAnsi"/>
        </w:rPr>
        <w:t xml:space="preserve">* </w:t>
      </w:r>
      <w:r w:rsidRPr="003B6015">
        <w:rPr>
          <w:rFonts w:cstheme="minorHAnsi"/>
        </w:rPr>
        <w:t xml:space="preserve">Bu kesintilerin ayrıntıları için </w:t>
      </w:r>
      <w:r>
        <w:rPr>
          <w:rFonts w:cstheme="minorHAnsi"/>
        </w:rPr>
        <w:t>teklif formunda yer almaktadır.</w:t>
      </w:r>
    </w:p>
    <w:p w:rsidR="003B6015" w:rsidRPr="003B6015" w:rsidRDefault="003B6015" w:rsidP="003B6015">
      <w:pPr>
        <w:pStyle w:val="ListeParagraf"/>
        <w:rPr>
          <w:rFonts w:asciiTheme="minorHAnsi" w:hAnsiTheme="minorHAnsi" w:cstheme="minorHAnsi"/>
          <w:b/>
          <w:sz w:val="22"/>
          <w:u w:val="single"/>
        </w:rPr>
      </w:pPr>
    </w:p>
    <w:p w:rsid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SÖZLEŞME </w:t>
      </w:r>
      <w:r>
        <w:rPr>
          <w:rFonts w:asciiTheme="minorHAnsi" w:hAnsiTheme="minorHAnsi" w:cstheme="minorHAnsi"/>
          <w:b/>
          <w:color w:val="FFC000"/>
          <w:sz w:val="22"/>
        </w:rPr>
        <w:t>YÜRÜRLÜĞÜ</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Default="003B6015" w:rsidP="003B6015">
      <w:pPr>
        <w:pStyle w:val="ListeParagraf"/>
        <w:numPr>
          <w:ilvl w:val="0"/>
          <w:numId w:val="11"/>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Sözleşme</w:t>
      </w:r>
      <w:r>
        <w:rPr>
          <w:rFonts w:asciiTheme="minorHAnsi" w:hAnsiTheme="minorHAnsi" w:cstheme="minorHAnsi"/>
          <w:sz w:val="22"/>
        </w:rPr>
        <w:t>ye bağlı sertifikalar</w:t>
      </w:r>
      <w:r w:rsidRPr="003B6015">
        <w:rPr>
          <w:rFonts w:asciiTheme="minorHAnsi" w:hAnsiTheme="minorHAnsi" w:cstheme="minorHAnsi"/>
          <w:sz w:val="22"/>
        </w:rPr>
        <w:t>, ilk katkı payının şirket hesaplarına intikal ettiği tarih itibarıyla yürürlüğe girer.</w:t>
      </w: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autoSpaceDE w:val="0"/>
        <w:autoSpaceDN w:val="0"/>
        <w:adjustRightInd w:val="0"/>
        <w:spacing w:after="0" w:line="240" w:lineRule="auto"/>
        <w:ind w:left="142"/>
        <w:jc w:val="both"/>
        <w:rPr>
          <w:rFonts w:asciiTheme="minorHAnsi" w:hAnsiTheme="minorHAnsi" w:cstheme="minorHAnsi"/>
          <w:sz w:val="22"/>
        </w:rPr>
      </w:pPr>
    </w:p>
    <w:p w:rsidR="003B6015"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DİĞER BİLGİLER</w:t>
      </w:r>
    </w:p>
    <w:p w:rsidR="003B6015" w:rsidRPr="003B6015" w:rsidRDefault="003B6015" w:rsidP="003B6015">
      <w:pPr>
        <w:pStyle w:val="ListeParagraf"/>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YATIRIM SÜRECİ</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Katkı payları, emeklilik şirketinin hesabına intikalini takip eden en geç ikinci iş gününde yatırıma yönlendirilmek zorundadır. </w:t>
      </w: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yatırılan katkı payları ve seçilen emeklilik yatırım fonlarının getirilerine göre değişkenlik gösterebilecek olup sistemde getiri garantisi bulunmamaktadır.</w:t>
      </w:r>
    </w:p>
    <w:p w:rsidR="003B6015" w:rsidRPr="003B6015" w:rsidRDefault="003B6015" w:rsidP="003B6015">
      <w:pPr>
        <w:pStyle w:val="ListeParagraf"/>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emeklilik şirketinden bağımsız bir saklayıcı kuruluşta saklanmaktadır.</w:t>
      </w:r>
    </w:p>
    <w:p w:rsidR="003B6015" w:rsidRPr="003B6015" w:rsidRDefault="003B6015" w:rsidP="003B6015">
      <w:pPr>
        <w:autoSpaceDE w:val="0"/>
        <w:autoSpaceDN w:val="0"/>
        <w:adjustRightInd w:val="0"/>
        <w:spacing w:after="0" w:line="240" w:lineRule="auto"/>
        <w:ind w:left="142" w:hanging="142"/>
        <w:jc w:val="both"/>
        <w:rPr>
          <w:rFonts w:cstheme="minorHAnsi"/>
          <w:b/>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ÇALIŞANA BİLDİRİM</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eParagraf"/>
        <w:numPr>
          <w:ilvl w:val="0"/>
          <w:numId w:val="13"/>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Çalışan için ödenmesi gereken bir katkı payının, ödenmesi gerekli günden itibaren 30 gün içinde ödenmemesi halinde, mevzuat uyarınca, bu durum emeklilik şirketi tarafından çalışana 5 iş günü içinde bildirilmek zorundadır.</w:t>
      </w:r>
    </w:p>
    <w:p w:rsidR="003B6015" w:rsidRPr="003B6015" w:rsidRDefault="003B6015" w:rsidP="003B6015">
      <w:pPr>
        <w:pStyle w:val="ListeParagraf"/>
        <w:rPr>
          <w:rFonts w:asciiTheme="minorHAnsi" w:hAnsiTheme="minorHAnsi" w:cstheme="minorHAnsi"/>
          <w:b/>
          <w:sz w:val="22"/>
          <w:u w:val="single"/>
        </w:rPr>
      </w:pPr>
    </w:p>
    <w:p w:rsidR="003B6015" w:rsidRPr="002C4E3A" w:rsidRDefault="003B6015" w:rsidP="003B6015">
      <w:pPr>
        <w:pStyle w:val="ListeParagraf"/>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FORM BİLGİSİ </w:t>
      </w:r>
    </w:p>
    <w:p w:rsidR="006D74D3" w:rsidRPr="003B6015" w:rsidRDefault="006D74D3" w:rsidP="006D74D3">
      <w:pPr>
        <w:pStyle w:val="ListeParagraf"/>
        <w:autoSpaceDE w:val="0"/>
        <w:autoSpaceDN w:val="0"/>
        <w:adjustRightInd w:val="0"/>
        <w:spacing w:after="0" w:line="240" w:lineRule="auto"/>
        <w:jc w:val="both"/>
        <w:rPr>
          <w:rFonts w:asciiTheme="minorHAnsi" w:hAnsiTheme="minorHAnsi" w:cstheme="minorHAnsi"/>
          <w:sz w:val="22"/>
        </w:rPr>
      </w:pPr>
    </w:p>
    <w:p w:rsidR="006D74D3" w:rsidRPr="006D74D3" w:rsidRDefault="006D74D3" w:rsidP="006D74D3">
      <w:pPr>
        <w:autoSpaceDE w:val="0"/>
        <w:autoSpaceDN w:val="0"/>
        <w:adjustRightInd w:val="0"/>
        <w:spacing w:after="0" w:line="240" w:lineRule="auto"/>
        <w:jc w:val="both"/>
        <w:rPr>
          <w:rFonts w:cstheme="minorHAnsi"/>
        </w:rPr>
      </w:pPr>
      <w:r w:rsidRPr="006D74D3">
        <w:rPr>
          <w:rFonts w:cstheme="minorHAnsi"/>
        </w:rPr>
        <w:t>İşyerinin Ticaret Unvanı</w:t>
      </w:r>
      <w:r w:rsidRPr="006D74D3">
        <w:rPr>
          <w:rFonts w:cstheme="minorHAnsi"/>
        </w:rPr>
        <w:tab/>
      </w:r>
      <w:r w:rsidRPr="006D74D3">
        <w:rPr>
          <w:rFonts w:cstheme="minorHAnsi"/>
        </w:rPr>
        <w:tab/>
        <w:t>:</w:t>
      </w:r>
    </w:p>
    <w:p w:rsidR="006D74D3" w:rsidRPr="006D74D3" w:rsidRDefault="006D74D3" w:rsidP="006D74D3">
      <w:pPr>
        <w:autoSpaceDE w:val="0"/>
        <w:autoSpaceDN w:val="0"/>
        <w:adjustRightInd w:val="0"/>
        <w:spacing w:after="0" w:line="240" w:lineRule="auto"/>
        <w:jc w:val="both"/>
        <w:rPr>
          <w:rFonts w:cstheme="minorHAnsi"/>
        </w:rPr>
      </w:pPr>
      <w:r>
        <w:rPr>
          <w:rFonts w:cstheme="minorHAnsi"/>
        </w:rPr>
        <w:t xml:space="preserve">İşveren Temsilcisinin adı </w:t>
      </w:r>
      <w:r w:rsidR="003B6015" w:rsidRPr="006D74D3">
        <w:rPr>
          <w:rFonts w:cstheme="minorHAnsi"/>
        </w:rPr>
        <w:t>soyadı</w:t>
      </w:r>
      <w:r>
        <w:rPr>
          <w:rFonts w:cstheme="minorHAnsi"/>
        </w:rPr>
        <w:tab/>
      </w:r>
      <w:r w:rsidR="003B6015" w:rsidRPr="006D74D3">
        <w:rPr>
          <w:rFonts w:cstheme="minorHAnsi"/>
        </w:rPr>
        <w:t>:</w:t>
      </w:r>
    </w:p>
    <w:p w:rsidR="006D74D3" w:rsidRPr="006D74D3" w:rsidRDefault="00817E92"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t>Tarih</w:t>
      </w:r>
      <w:r w:rsidRPr="006D74D3">
        <w:rPr>
          <w:rFonts w:eastAsia="Calibri" w:cstheme="minorHAnsi"/>
          <w:color w:val="0D0D0D"/>
        </w:rPr>
        <w:tab/>
      </w:r>
      <w:r w:rsidRPr="006D74D3">
        <w:rPr>
          <w:rFonts w:eastAsia="Calibri" w:cstheme="minorHAnsi"/>
          <w:color w:val="0D0D0D"/>
        </w:rPr>
        <w:tab/>
      </w:r>
      <w:r w:rsidR="006D74D3">
        <w:rPr>
          <w:rFonts w:eastAsia="Calibri" w:cstheme="minorHAnsi"/>
          <w:color w:val="0D0D0D"/>
        </w:rPr>
        <w:tab/>
      </w:r>
      <w:r w:rsidR="006D74D3">
        <w:rPr>
          <w:rFonts w:eastAsia="Calibri" w:cstheme="minorHAnsi"/>
          <w:color w:val="0D0D0D"/>
        </w:rPr>
        <w:tab/>
      </w:r>
      <w:r w:rsidRPr="006D74D3">
        <w:rPr>
          <w:rFonts w:eastAsia="Calibri" w:cstheme="minorHAnsi"/>
          <w:color w:val="0D0D0D"/>
        </w:rPr>
        <w:t>:.../.../...</w:t>
      </w:r>
    </w:p>
    <w:p w:rsidR="00817E92" w:rsidRPr="006D74D3" w:rsidRDefault="006D74D3"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t>İm</w:t>
      </w:r>
      <w:r w:rsidR="00817E92" w:rsidRPr="006D74D3">
        <w:rPr>
          <w:rFonts w:eastAsia="Calibri" w:cstheme="minorHAnsi"/>
          <w:color w:val="0D0D0D"/>
        </w:rPr>
        <w:t>za</w:t>
      </w:r>
      <w:r w:rsidR="00817E92" w:rsidRPr="006D74D3">
        <w:rPr>
          <w:rFonts w:eastAsia="Calibri" w:cstheme="minorHAnsi"/>
          <w:color w:val="0D0D0D"/>
        </w:rPr>
        <w:tab/>
      </w:r>
      <w:r w:rsidR="00817E92" w:rsidRPr="006D74D3">
        <w:rPr>
          <w:rFonts w:eastAsia="Calibri" w:cstheme="minorHAnsi"/>
          <w:color w:val="0D0D0D"/>
        </w:rPr>
        <w:tab/>
      </w:r>
      <w:r>
        <w:rPr>
          <w:rFonts w:eastAsia="Calibri" w:cstheme="minorHAnsi"/>
          <w:color w:val="0D0D0D"/>
        </w:rPr>
        <w:tab/>
      </w:r>
      <w:r>
        <w:rPr>
          <w:rFonts w:eastAsia="Calibri" w:cstheme="minorHAnsi"/>
          <w:color w:val="0D0D0D"/>
        </w:rPr>
        <w:tab/>
      </w:r>
      <w:r w:rsidR="00817E92" w:rsidRPr="006D74D3">
        <w:rPr>
          <w:rFonts w:eastAsia="Calibri" w:cstheme="minorHAnsi"/>
          <w:color w:val="0D0D0D"/>
        </w:rPr>
        <w:t>:</w:t>
      </w:r>
    </w:p>
    <w:p w:rsidR="00BF672E" w:rsidRPr="003B6015" w:rsidRDefault="00BF672E" w:rsidP="00817E92">
      <w:pPr>
        <w:spacing w:after="0"/>
        <w:rPr>
          <w:rFonts w:cstheme="minorHAnsi"/>
        </w:rPr>
      </w:pPr>
    </w:p>
    <w:p w:rsidR="003B6015" w:rsidRPr="006D74D3" w:rsidRDefault="006D74D3" w:rsidP="006D74D3">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 </w:t>
      </w:r>
      <w:r w:rsidR="003B6015" w:rsidRPr="006D74D3">
        <w:rPr>
          <w:rFonts w:eastAsiaTheme="minorHAnsi" w:cstheme="minorHAnsi"/>
          <w:lang w:eastAsia="en-US"/>
        </w:rPr>
        <w:t>Bu form iki örnek olarak düzenlenerek bir örneği işverene verilecek, diğeri şirket tarafından muhafaza edilecektir.</w:t>
      </w:r>
    </w:p>
    <w:p w:rsidR="003B6015" w:rsidRPr="003B6015" w:rsidRDefault="003B6015" w:rsidP="00817E92">
      <w:pPr>
        <w:spacing w:after="0"/>
        <w:rPr>
          <w:rFonts w:cstheme="minorHAnsi"/>
        </w:rPr>
      </w:pPr>
    </w:p>
    <w:sectPr w:rsidR="003B6015" w:rsidRPr="003B6015" w:rsidSect="003B6015">
      <w:pgSz w:w="16838" w:h="11906" w:orient="landscape"/>
      <w:pgMar w:top="1417" w:right="1417" w:bottom="993"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3C" w:rsidRDefault="0012193C" w:rsidP="00ED06C7">
      <w:pPr>
        <w:spacing w:after="0" w:line="240" w:lineRule="auto"/>
      </w:pPr>
      <w:r>
        <w:separator/>
      </w:r>
    </w:p>
  </w:endnote>
  <w:endnote w:type="continuationSeparator" w:id="0">
    <w:p w:rsidR="0012193C" w:rsidRDefault="0012193C"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3C" w:rsidRDefault="0012193C" w:rsidP="00ED06C7">
      <w:pPr>
        <w:spacing w:after="0" w:line="240" w:lineRule="auto"/>
      </w:pPr>
      <w:r>
        <w:separator/>
      </w:r>
    </w:p>
  </w:footnote>
  <w:footnote w:type="continuationSeparator" w:id="0">
    <w:p w:rsidR="0012193C" w:rsidRDefault="0012193C" w:rsidP="00ED0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A24483"/>
    <w:multiLevelType w:val="hybridMultilevel"/>
    <w:tmpl w:val="5F163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8"/>
  </w:num>
  <w:num w:numId="6">
    <w:abstractNumId w:val="5"/>
  </w:num>
  <w:num w:numId="7">
    <w:abstractNumId w:val="1"/>
  </w:num>
  <w:num w:numId="8">
    <w:abstractNumId w:val="6"/>
  </w:num>
  <w:num w:numId="9">
    <w:abstractNumId w:val="0"/>
  </w:num>
  <w:num w:numId="10">
    <w:abstractNumId w:val="9"/>
  </w:num>
  <w:num w:numId="11">
    <w:abstractNumId w:val="7"/>
  </w:num>
  <w:num w:numId="12">
    <w:abstractNumId w:val="4"/>
  </w:num>
  <w:num w:numId="13">
    <w:abstractNumId w:val="3"/>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2193C"/>
    <w:rsid w:val="00166BD1"/>
    <w:rsid w:val="001D66CA"/>
    <w:rsid w:val="002C4E3A"/>
    <w:rsid w:val="002F2019"/>
    <w:rsid w:val="003B6015"/>
    <w:rsid w:val="004013AC"/>
    <w:rsid w:val="004179BE"/>
    <w:rsid w:val="00453523"/>
    <w:rsid w:val="004E08F2"/>
    <w:rsid w:val="00586C28"/>
    <w:rsid w:val="005A3FB2"/>
    <w:rsid w:val="005C20B3"/>
    <w:rsid w:val="00681018"/>
    <w:rsid w:val="00686349"/>
    <w:rsid w:val="006D74D3"/>
    <w:rsid w:val="006F6BF9"/>
    <w:rsid w:val="00817E92"/>
    <w:rsid w:val="00824C2A"/>
    <w:rsid w:val="00847854"/>
    <w:rsid w:val="009F1A28"/>
    <w:rsid w:val="00AC5632"/>
    <w:rsid w:val="00B2208C"/>
    <w:rsid w:val="00BC7284"/>
    <w:rsid w:val="00BF3EF8"/>
    <w:rsid w:val="00BF672E"/>
    <w:rsid w:val="00CB6C90"/>
    <w:rsid w:val="00D5711A"/>
    <w:rsid w:val="00DC3347"/>
    <w:rsid w:val="00E119F9"/>
    <w:rsid w:val="00E90FE5"/>
    <w:rsid w:val="00ED06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6C7"/>
  </w:style>
  <w:style w:type="paragraph" w:styleId="Altbilgi">
    <w:name w:val="footer"/>
    <w:basedOn w:val="Normal"/>
    <w:link w:val="AltbilgiChar"/>
    <w:uiPriority w:val="99"/>
    <w:unhideWhenUsed/>
    <w:rsid w:val="00ED0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6C7"/>
  </w:style>
  <w:style w:type="paragraph" w:styleId="ListeParagraf">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AklamaBavurusu">
    <w:name w:val="annotation reference"/>
    <w:basedOn w:val="VarsaylanParagrafYazTipi"/>
    <w:uiPriority w:val="99"/>
    <w:semiHidden/>
    <w:unhideWhenUsed/>
    <w:rsid w:val="00BF3EF8"/>
    <w:rPr>
      <w:sz w:val="16"/>
      <w:szCs w:val="16"/>
    </w:rPr>
  </w:style>
  <w:style w:type="paragraph" w:styleId="AklamaMetni">
    <w:name w:val="annotation text"/>
    <w:basedOn w:val="Normal"/>
    <w:link w:val="AklamaMetniChar"/>
    <w:uiPriority w:val="99"/>
    <w:semiHidden/>
    <w:unhideWhenUsed/>
    <w:rsid w:val="00BF3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EF8"/>
    <w:rPr>
      <w:sz w:val="20"/>
      <w:szCs w:val="20"/>
    </w:rPr>
  </w:style>
  <w:style w:type="paragraph" w:styleId="AklamaKonusu">
    <w:name w:val="annotation subject"/>
    <w:basedOn w:val="AklamaMetni"/>
    <w:next w:val="AklamaMetni"/>
    <w:link w:val="AklamaKonusuChar"/>
    <w:uiPriority w:val="99"/>
    <w:semiHidden/>
    <w:unhideWhenUsed/>
    <w:rsid w:val="00BF3EF8"/>
    <w:rPr>
      <w:b/>
      <w:bCs/>
    </w:rPr>
  </w:style>
  <w:style w:type="character" w:customStyle="1" w:styleId="AklamaKonusuChar">
    <w:name w:val="Açıklama Konusu Char"/>
    <w:basedOn w:val="AklamaMetniChar"/>
    <w:link w:val="AklamaKonusu"/>
    <w:uiPriority w:val="99"/>
    <w:semiHidden/>
    <w:rsid w:val="00BF3EF8"/>
    <w:rPr>
      <w:b/>
      <w:bCs/>
      <w:sz w:val="20"/>
      <w:szCs w:val="20"/>
    </w:rPr>
  </w:style>
  <w:style w:type="paragraph" w:styleId="BalonMetni">
    <w:name w:val="Balloon Text"/>
    <w:basedOn w:val="Normal"/>
    <w:link w:val="BalonMetniChar"/>
    <w:uiPriority w:val="99"/>
    <w:semiHidden/>
    <w:unhideWhenUsed/>
    <w:rsid w:val="00BF3E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06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6C7"/>
  </w:style>
  <w:style w:type="paragraph" w:styleId="Altbilgi">
    <w:name w:val="footer"/>
    <w:basedOn w:val="Normal"/>
    <w:link w:val="AltbilgiChar"/>
    <w:uiPriority w:val="99"/>
    <w:unhideWhenUsed/>
    <w:rsid w:val="00ED06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6C7"/>
  </w:style>
  <w:style w:type="paragraph" w:styleId="ListeParagraf">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AklamaBavurusu">
    <w:name w:val="annotation reference"/>
    <w:basedOn w:val="VarsaylanParagrafYazTipi"/>
    <w:uiPriority w:val="99"/>
    <w:semiHidden/>
    <w:unhideWhenUsed/>
    <w:rsid w:val="00BF3EF8"/>
    <w:rPr>
      <w:sz w:val="16"/>
      <w:szCs w:val="16"/>
    </w:rPr>
  </w:style>
  <w:style w:type="paragraph" w:styleId="AklamaMetni">
    <w:name w:val="annotation text"/>
    <w:basedOn w:val="Normal"/>
    <w:link w:val="AklamaMetniChar"/>
    <w:uiPriority w:val="99"/>
    <w:semiHidden/>
    <w:unhideWhenUsed/>
    <w:rsid w:val="00BF3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3EF8"/>
    <w:rPr>
      <w:sz w:val="20"/>
      <w:szCs w:val="20"/>
    </w:rPr>
  </w:style>
  <w:style w:type="paragraph" w:styleId="AklamaKonusu">
    <w:name w:val="annotation subject"/>
    <w:basedOn w:val="AklamaMetni"/>
    <w:next w:val="AklamaMetni"/>
    <w:link w:val="AklamaKonusuChar"/>
    <w:uiPriority w:val="99"/>
    <w:semiHidden/>
    <w:unhideWhenUsed/>
    <w:rsid w:val="00BF3EF8"/>
    <w:rPr>
      <w:b/>
      <w:bCs/>
    </w:rPr>
  </w:style>
  <w:style w:type="character" w:customStyle="1" w:styleId="AklamaKonusuChar">
    <w:name w:val="Açıklama Konusu Char"/>
    <w:basedOn w:val="AklamaMetniChar"/>
    <w:link w:val="AklamaKonusu"/>
    <w:uiPriority w:val="99"/>
    <w:semiHidden/>
    <w:rsid w:val="00BF3EF8"/>
    <w:rPr>
      <w:b/>
      <w:bCs/>
      <w:sz w:val="20"/>
      <w:szCs w:val="20"/>
    </w:rPr>
  </w:style>
  <w:style w:type="paragraph" w:styleId="BalonMetni">
    <w:name w:val="Balloon Text"/>
    <w:basedOn w:val="Normal"/>
    <w:link w:val="BalonMetniChar"/>
    <w:uiPriority w:val="99"/>
    <w:semiHidden/>
    <w:unhideWhenUsed/>
    <w:rsid w:val="00BF3E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045">
      <w:bodyDiv w:val="1"/>
      <w:marLeft w:val="0"/>
      <w:marRight w:val="0"/>
      <w:marTop w:val="0"/>
      <w:marBottom w:val="0"/>
      <w:divBdr>
        <w:top w:val="none" w:sz="0" w:space="0" w:color="auto"/>
        <w:left w:val="none" w:sz="0" w:space="0" w:color="auto"/>
        <w:bottom w:val="none" w:sz="0" w:space="0" w:color="auto"/>
        <w:right w:val="none" w:sz="0" w:space="0" w:color="auto"/>
      </w:divBdr>
    </w:div>
    <w:div w:id="312609056">
      <w:bodyDiv w:val="1"/>
      <w:marLeft w:val="0"/>
      <w:marRight w:val="0"/>
      <w:marTop w:val="0"/>
      <w:marBottom w:val="0"/>
      <w:divBdr>
        <w:top w:val="none" w:sz="0" w:space="0" w:color="auto"/>
        <w:left w:val="none" w:sz="0" w:space="0" w:color="auto"/>
        <w:bottom w:val="none" w:sz="0" w:space="0" w:color="auto"/>
        <w:right w:val="none" w:sz="0" w:space="0" w:color="auto"/>
      </w:divBdr>
    </w:div>
    <w:div w:id="504125287">
      <w:bodyDiv w:val="1"/>
      <w:marLeft w:val="0"/>
      <w:marRight w:val="0"/>
      <w:marTop w:val="0"/>
      <w:marBottom w:val="0"/>
      <w:divBdr>
        <w:top w:val="none" w:sz="0" w:space="0" w:color="auto"/>
        <w:left w:val="none" w:sz="0" w:space="0" w:color="auto"/>
        <w:bottom w:val="none" w:sz="0" w:space="0" w:color="auto"/>
        <w:right w:val="none" w:sz="0" w:space="0" w:color="auto"/>
      </w:divBdr>
    </w:div>
    <w:div w:id="567764071">
      <w:bodyDiv w:val="1"/>
      <w:marLeft w:val="0"/>
      <w:marRight w:val="0"/>
      <w:marTop w:val="0"/>
      <w:marBottom w:val="0"/>
      <w:divBdr>
        <w:top w:val="none" w:sz="0" w:space="0" w:color="auto"/>
        <w:left w:val="none" w:sz="0" w:space="0" w:color="auto"/>
        <w:bottom w:val="none" w:sz="0" w:space="0" w:color="auto"/>
        <w:right w:val="none" w:sz="0" w:space="0" w:color="auto"/>
      </w:divBdr>
    </w:div>
    <w:div w:id="812334489">
      <w:bodyDiv w:val="1"/>
      <w:marLeft w:val="0"/>
      <w:marRight w:val="0"/>
      <w:marTop w:val="0"/>
      <w:marBottom w:val="0"/>
      <w:divBdr>
        <w:top w:val="none" w:sz="0" w:space="0" w:color="auto"/>
        <w:left w:val="none" w:sz="0" w:space="0" w:color="auto"/>
        <w:bottom w:val="none" w:sz="0" w:space="0" w:color="auto"/>
        <w:right w:val="none" w:sz="0" w:space="0" w:color="auto"/>
      </w:divBdr>
    </w:div>
    <w:div w:id="816191661">
      <w:bodyDiv w:val="1"/>
      <w:marLeft w:val="0"/>
      <w:marRight w:val="0"/>
      <w:marTop w:val="0"/>
      <w:marBottom w:val="0"/>
      <w:divBdr>
        <w:top w:val="none" w:sz="0" w:space="0" w:color="auto"/>
        <w:left w:val="none" w:sz="0" w:space="0" w:color="auto"/>
        <w:bottom w:val="none" w:sz="0" w:space="0" w:color="auto"/>
        <w:right w:val="none" w:sz="0" w:space="0" w:color="auto"/>
      </w:divBdr>
    </w:div>
    <w:div w:id="1168981005">
      <w:bodyDiv w:val="1"/>
      <w:marLeft w:val="0"/>
      <w:marRight w:val="0"/>
      <w:marTop w:val="0"/>
      <w:marBottom w:val="0"/>
      <w:divBdr>
        <w:top w:val="none" w:sz="0" w:space="0" w:color="auto"/>
        <w:left w:val="none" w:sz="0" w:space="0" w:color="auto"/>
        <w:bottom w:val="none" w:sz="0" w:space="0" w:color="auto"/>
        <w:right w:val="none" w:sz="0" w:space="0" w:color="auto"/>
      </w:divBdr>
    </w:div>
    <w:div w:id="1244097772">
      <w:bodyDiv w:val="1"/>
      <w:marLeft w:val="0"/>
      <w:marRight w:val="0"/>
      <w:marTop w:val="0"/>
      <w:marBottom w:val="0"/>
      <w:divBdr>
        <w:top w:val="none" w:sz="0" w:space="0" w:color="auto"/>
        <w:left w:val="none" w:sz="0" w:space="0" w:color="auto"/>
        <w:bottom w:val="none" w:sz="0" w:space="0" w:color="auto"/>
        <w:right w:val="none" w:sz="0" w:space="0" w:color="auto"/>
      </w:divBdr>
    </w:div>
    <w:div w:id="1283462442">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1571574973">
      <w:bodyDiv w:val="1"/>
      <w:marLeft w:val="0"/>
      <w:marRight w:val="0"/>
      <w:marTop w:val="0"/>
      <w:marBottom w:val="0"/>
      <w:divBdr>
        <w:top w:val="none" w:sz="0" w:space="0" w:color="auto"/>
        <w:left w:val="none" w:sz="0" w:space="0" w:color="auto"/>
        <w:bottom w:val="none" w:sz="0" w:space="0" w:color="auto"/>
        <w:right w:val="none" w:sz="0" w:space="0" w:color="auto"/>
      </w:divBdr>
    </w:div>
    <w:div w:id="2089420576">
      <w:bodyDiv w:val="1"/>
      <w:marLeft w:val="0"/>
      <w:marRight w:val="0"/>
      <w:marTop w:val="0"/>
      <w:marBottom w:val="0"/>
      <w:divBdr>
        <w:top w:val="none" w:sz="0" w:space="0" w:color="auto"/>
        <w:left w:val="none" w:sz="0" w:space="0" w:color="auto"/>
        <w:bottom w:val="none" w:sz="0" w:space="0" w:color="auto"/>
        <w:right w:val="none" w:sz="0" w:space="0" w:color="auto"/>
      </w:divBdr>
    </w:div>
    <w:div w:id="213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Muazzez</cp:lastModifiedBy>
  <cp:revision>1</cp:revision>
  <dcterms:created xsi:type="dcterms:W3CDTF">2020-10-27T07:07:00Z</dcterms:created>
  <dcterms:modified xsi:type="dcterms:W3CDTF">2020-10-27T07:07:00Z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LOCALNET\muazzez.memis</vt:lpwstr>
  </property>
  <property fmtid="{D5CDD505-2E9C-101B-9397-08002B2CF9AE}" pid="4" name="DLPManualFileClassificationLastModificationDate">
    <vt:lpwstr>1603782458</vt:lpwstr>
  </property>
  <property fmtid="{D5CDD505-2E9C-101B-9397-08002B2CF9AE}" pid="5" name="DLPManualFileClassificationVersion">
    <vt:lpwstr>11.4.0.45</vt:lpwstr>
  </property>
</Properties>
</file>