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D8" w:rsidRPr="00FC4D87" w:rsidRDefault="00367ED8" w:rsidP="00367ED8">
      <w:pPr>
        <w:pStyle w:val="Balk2"/>
      </w:pPr>
      <w:r>
        <w:t>SERMAYE PİYASASI KURULUNUN 26.02.2014 TARİH VE 6/180</w:t>
      </w:r>
      <w:r w:rsidRPr="00FC4D87">
        <w:t xml:space="preserve"> SAYILI KARARI</w:t>
      </w:r>
    </w:p>
    <w:p w:rsidR="00367ED8" w:rsidRDefault="00367ED8" w:rsidP="00367ED8">
      <w:pPr>
        <w:pStyle w:val="Default"/>
        <w:rPr>
          <w:b/>
          <w:bCs/>
          <w:sz w:val="20"/>
          <w:szCs w:val="20"/>
        </w:rPr>
      </w:pPr>
    </w:p>
    <w:p w:rsidR="00367ED8" w:rsidRDefault="00367ED8" w:rsidP="00EB631E">
      <w:pPr>
        <w:pStyle w:val="Default"/>
        <w:numPr>
          <w:ilvl w:val="0"/>
          <w:numId w:val="1"/>
        </w:numPr>
        <w:ind w:left="0"/>
        <w:jc w:val="both"/>
        <w:rPr>
          <w:sz w:val="20"/>
          <w:szCs w:val="20"/>
        </w:rPr>
      </w:pPr>
      <w:r>
        <w:rPr>
          <w:sz w:val="20"/>
          <w:szCs w:val="20"/>
        </w:rPr>
        <w:t xml:space="preserve">Kurulumuzun fon giderlerinin kurucular tarafından karşılanmamasına yönelik düzenleme yapan 06.01.2005 tarih ve 1/9 sayılı İlke Kararı’nın yürürlükten kaldırılmasına, </w:t>
      </w:r>
    </w:p>
    <w:p w:rsidR="00367ED8" w:rsidRDefault="00367ED8" w:rsidP="00EB631E">
      <w:pPr>
        <w:pStyle w:val="Default"/>
        <w:jc w:val="both"/>
        <w:rPr>
          <w:sz w:val="20"/>
          <w:szCs w:val="20"/>
        </w:rPr>
      </w:pPr>
    </w:p>
    <w:p w:rsidR="00367ED8" w:rsidRDefault="00367ED8" w:rsidP="00EB631E">
      <w:pPr>
        <w:pStyle w:val="Default"/>
        <w:numPr>
          <w:ilvl w:val="0"/>
          <w:numId w:val="1"/>
        </w:numPr>
        <w:ind w:left="0"/>
        <w:jc w:val="both"/>
        <w:rPr>
          <w:sz w:val="20"/>
          <w:szCs w:val="20"/>
        </w:rPr>
      </w:pPr>
      <w:r>
        <w:rPr>
          <w:sz w:val="20"/>
          <w:szCs w:val="20"/>
        </w:rPr>
        <w:t xml:space="preserve">Fon giderlerinin kurucular tarafından karşılanmasına yönelik uygulama esaslarını belirlemek üzere; </w:t>
      </w:r>
    </w:p>
    <w:p w:rsidR="00367ED8" w:rsidRDefault="00367ED8" w:rsidP="00EB631E">
      <w:pPr>
        <w:pStyle w:val="ListeParagraf"/>
        <w:ind w:left="0"/>
        <w:jc w:val="both"/>
        <w:rPr>
          <w:b/>
          <w:bCs/>
          <w:sz w:val="20"/>
          <w:szCs w:val="20"/>
        </w:rPr>
      </w:pPr>
    </w:p>
    <w:p w:rsidR="00367ED8" w:rsidRDefault="00367ED8" w:rsidP="00EB631E">
      <w:pPr>
        <w:pStyle w:val="Default"/>
        <w:jc w:val="both"/>
        <w:rPr>
          <w:sz w:val="20"/>
          <w:szCs w:val="20"/>
        </w:rPr>
      </w:pPr>
      <w:r w:rsidRPr="00367ED8">
        <w:rPr>
          <w:b/>
          <w:bCs/>
          <w:sz w:val="20"/>
          <w:szCs w:val="20"/>
        </w:rPr>
        <w:t xml:space="preserve">a) </w:t>
      </w:r>
      <w:r w:rsidRPr="00367ED8">
        <w:rPr>
          <w:sz w:val="20"/>
          <w:szCs w:val="20"/>
        </w:rPr>
        <w:t xml:space="preserve">Yatırım fonlarının ve emeklilik yatırım fonlarının giderlerinde </w:t>
      </w:r>
      <w:proofErr w:type="spellStart"/>
      <w:r w:rsidRPr="00367ED8">
        <w:rPr>
          <w:sz w:val="20"/>
          <w:szCs w:val="20"/>
        </w:rPr>
        <w:t>karşılaştırılabilirliğin</w:t>
      </w:r>
      <w:proofErr w:type="spellEnd"/>
      <w:r w:rsidRPr="00367ED8">
        <w:rPr>
          <w:sz w:val="20"/>
          <w:szCs w:val="20"/>
        </w:rPr>
        <w:t xml:space="preserve"> sağlanması amacıyla fonlara ilişkin tüm giderlerin (kurucular tarafından karşılananlar </w:t>
      </w:r>
      <w:proofErr w:type="gramStart"/>
      <w:r w:rsidRPr="00367ED8">
        <w:rPr>
          <w:sz w:val="20"/>
          <w:szCs w:val="20"/>
        </w:rPr>
        <w:t>dahil</w:t>
      </w:r>
      <w:proofErr w:type="gramEnd"/>
      <w:r w:rsidRPr="00367ED8">
        <w:rPr>
          <w:sz w:val="20"/>
          <w:szCs w:val="20"/>
        </w:rPr>
        <w:t>) fon muhasebe sistemine aktarılması,</w:t>
      </w:r>
    </w:p>
    <w:p w:rsidR="00367ED8" w:rsidRPr="00367ED8" w:rsidRDefault="00367ED8" w:rsidP="00EB631E">
      <w:pPr>
        <w:pStyle w:val="Default"/>
        <w:jc w:val="both"/>
        <w:rPr>
          <w:sz w:val="20"/>
          <w:szCs w:val="20"/>
        </w:rPr>
      </w:pPr>
      <w:r w:rsidRPr="00367ED8">
        <w:rPr>
          <w:sz w:val="20"/>
          <w:szCs w:val="20"/>
        </w:rPr>
        <w:t xml:space="preserve"> </w:t>
      </w:r>
    </w:p>
    <w:p w:rsidR="00367ED8" w:rsidRDefault="00367ED8" w:rsidP="00EB631E">
      <w:pPr>
        <w:pStyle w:val="Default"/>
        <w:jc w:val="both"/>
        <w:rPr>
          <w:sz w:val="20"/>
          <w:szCs w:val="20"/>
        </w:rPr>
      </w:pPr>
      <w:r>
        <w:rPr>
          <w:b/>
          <w:bCs/>
          <w:sz w:val="20"/>
          <w:szCs w:val="20"/>
        </w:rPr>
        <w:t xml:space="preserve">b) </w:t>
      </w:r>
      <w:r>
        <w:rPr>
          <w:sz w:val="20"/>
          <w:szCs w:val="20"/>
        </w:rPr>
        <w:t xml:space="preserve">Fon giderlerinin kurucu tarafından karşılandığı durumlarda, bu giderlerin hesap </w:t>
      </w:r>
      <w:proofErr w:type="gramStart"/>
      <w:r>
        <w:rPr>
          <w:sz w:val="20"/>
          <w:szCs w:val="20"/>
        </w:rPr>
        <w:t>işletim    giderleri</w:t>
      </w:r>
      <w:proofErr w:type="gramEnd"/>
      <w:r>
        <w:rPr>
          <w:sz w:val="20"/>
          <w:szCs w:val="20"/>
        </w:rPr>
        <w:t xml:space="preserve">, komisyon gibi muhtelif adlar altında dolaylı olarak yatırımcılara yansıtılmaması, </w:t>
      </w:r>
    </w:p>
    <w:p w:rsidR="00367ED8" w:rsidRDefault="00367ED8" w:rsidP="00EB631E">
      <w:pPr>
        <w:pStyle w:val="Default"/>
        <w:jc w:val="both"/>
        <w:rPr>
          <w:sz w:val="20"/>
          <w:szCs w:val="20"/>
        </w:rPr>
      </w:pPr>
    </w:p>
    <w:p w:rsidR="00367ED8" w:rsidRDefault="00367ED8" w:rsidP="00EB631E">
      <w:pPr>
        <w:pStyle w:val="Default"/>
        <w:jc w:val="both"/>
        <w:rPr>
          <w:sz w:val="20"/>
          <w:szCs w:val="20"/>
        </w:rPr>
      </w:pPr>
      <w:r>
        <w:rPr>
          <w:b/>
          <w:bCs/>
          <w:sz w:val="20"/>
          <w:szCs w:val="20"/>
        </w:rPr>
        <w:t xml:space="preserve">c) </w:t>
      </w:r>
      <w:r>
        <w:rPr>
          <w:sz w:val="20"/>
          <w:szCs w:val="20"/>
        </w:rPr>
        <w:t xml:space="preserve">Yatırım fonlarının ve emeklilik yatırım fonlarının performans sunuş raporlarında, alım satıma esas olan fon fiyatına göre hesaplanan fon getirilerine ek olarak, brüt fon getirilerine (toplam giderlerden kurucu tarafından karşılanan giderler düşüle </w:t>
      </w:r>
      <w:proofErr w:type="spellStart"/>
      <w:r>
        <w:rPr>
          <w:sz w:val="20"/>
          <w:szCs w:val="20"/>
        </w:rPr>
        <w:t>rek</w:t>
      </w:r>
      <w:proofErr w:type="spellEnd"/>
      <w:r>
        <w:rPr>
          <w:sz w:val="20"/>
          <w:szCs w:val="20"/>
        </w:rPr>
        <w:t xml:space="preserve"> bulunan brüt fon getirileri) ekteki örnek hesaplama esas alınarak yer verilmesi, </w:t>
      </w:r>
    </w:p>
    <w:p w:rsidR="00367ED8" w:rsidRDefault="00367ED8" w:rsidP="00EB631E">
      <w:pPr>
        <w:pStyle w:val="Default"/>
        <w:jc w:val="both"/>
        <w:rPr>
          <w:sz w:val="20"/>
          <w:szCs w:val="20"/>
        </w:rPr>
      </w:pPr>
    </w:p>
    <w:p w:rsidR="00367ED8" w:rsidRDefault="00367ED8" w:rsidP="00EB631E">
      <w:pPr>
        <w:pStyle w:val="Default"/>
        <w:jc w:val="both"/>
        <w:rPr>
          <w:sz w:val="20"/>
          <w:szCs w:val="20"/>
        </w:rPr>
      </w:pPr>
      <w:r>
        <w:rPr>
          <w:b/>
          <w:bCs/>
          <w:sz w:val="20"/>
          <w:szCs w:val="20"/>
        </w:rPr>
        <w:t xml:space="preserve">d) </w:t>
      </w:r>
      <w:r>
        <w:rPr>
          <w:sz w:val="20"/>
          <w:szCs w:val="20"/>
        </w:rPr>
        <w:t xml:space="preserve">Emeklilik yatırım fonlarının sürekli bilgilendirme formlarında ve Kamuyu Aydınlatma Platformu’nda fon işletim giderinin kurucu emeklilik şirketi ile </w:t>
      </w:r>
      <w:proofErr w:type="gramStart"/>
      <w:r>
        <w:rPr>
          <w:sz w:val="20"/>
          <w:szCs w:val="20"/>
        </w:rPr>
        <w:t>portföy</w:t>
      </w:r>
      <w:proofErr w:type="gramEnd"/>
      <w:r>
        <w:rPr>
          <w:sz w:val="20"/>
          <w:szCs w:val="20"/>
        </w:rPr>
        <w:t xml:space="preserve"> yöneticisi arasındaki paylaşım oranlarına yer verilmesi gerektiğine karar verilmiştir. </w:t>
      </w:r>
    </w:p>
    <w:p w:rsidR="002008F5" w:rsidRDefault="002008F5" w:rsidP="002008F5">
      <w:pPr>
        <w:pStyle w:val="Default"/>
        <w:rPr>
          <w:sz w:val="20"/>
          <w:szCs w:val="20"/>
        </w:rPr>
      </w:pPr>
    </w:p>
    <w:p w:rsidR="00367ED8" w:rsidRDefault="00367ED8" w:rsidP="002008F5">
      <w:pPr>
        <w:pStyle w:val="Default"/>
        <w:rPr>
          <w:b/>
          <w:bCs/>
          <w:sz w:val="20"/>
          <w:szCs w:val="20"/>
        </w:rPr>
      </w:pPr>
      <w:r>
        <w:rPr>
          <w:b/>
          <w:bCs/>
          <w:sz w:val="20"/>
          <w:szCs w:val="20"/>
        </w:rPr>
        <w:t xml:space="preserve">EKİ: </w:t>
      </w:r>
    </w:p>
    <w:p w:rsidR="000F6ADE" w:rsidRPr="000F6ADE" w:rsidRDefault="000F6ADE" w:rsidP="002008F5">
      <w:pPr>
        <w:pStyle w:val="Default"/>
        <w:rPr>
          <w:b/>
          <w:bCs/>
          <w:sz w:val="20"/>
          <w:szCs w:val="20"/>
          <w:u w:val="single"/>
        </w:rPr>
      </w:pPr>
      <w:r w:rsidRPr="000F6ADE">
        <w:rPr>
          <w:b/>
          <w:bCs/>
          <w:sz w:val="20"/>
          <w:szCs w:val="20"/>
          <w:u w:val="single"/>
        </w:rPr>
        <w:t xml:space="preserve">Örnek Tablo       </w:t>
      </w:r>
    </w:p>
    <w:p w:rsidR="009C4256" w:rsidRDefault="009C4256" w:rsidP="002008F5">
      <w:pPr>
        <w:pStyle w:val="Default"/>
        <w:rPr>
          <w:sz w:val="20"/>
          <w:szCs w:val="20"/>
        </w:rPr>
      </w:pPr>
    </w:p>
    <w:tbl>
      <w:tblPr>
        <w:tblW w:w="0" w:type="auto"/>
        <w:tblCellMar>
          <w:left w:w="0" w:type="dxa"/>
          <w:right w:w="0" w:type="dxa"/>
        </w:tblCellMar>
        <w:tblLook w:val="04A0" w:firstRow="1" w:lastRow="0" w:firstColumn="1" w:lastColumn="0" w:noHBand="0" w:noVBand="1"/>
      </w:tblPr>
      <w:tblGrid>
        <w:gridCol w:w="3123"/>
        <w:gridCol w:w="1540"/>
        <w:gridCol w:w="1536"/>
        <w:gridCol w:w="3089"/>
      </w:tblGrid>
      <w:tr w:rsidR="00367ED8" w:rsidTr="00367ED8">
        <w:trPr>
          <w:trHeight w:val="84"/>
        </w:trPr>
        <w:tc>
          <w:tcPr>
            <w:tcW w:w="4923" w:type="dxa"/>
            <w:gridSpan w:val="2"/>
            <w:tcMar>
              <w:top w:w="0" w:type="dxa"/>
              <w:left w:w="108" w:type="dxa"/>
              <w:bottom w:w="0" w:type="dxa"/>
              <w:right w:w="108" w:type="dxa"/>
            </w:tcMar>
            <w:hideMark/>
          </w:tcPr>
          <w:p w:rsidR="00367ED8" w:rsidRDefault="000F6ADE" w:rsidP="002008F5">
            <w:pPr>
              <w:pStyle w:val="Default"/>
              <w:rPr>
                <w:sz w:val="20"/>
                <w:szCs w:val="20"/>
              </w:rPr>
            </w:pPr>
            <w:r>
              <w:rPr>
                <w:b/>
                <w:bCs/>
                <w:sz w:val="20"/>
                <w:szCs w:val="20"/>
              </w:rPr>
              <w:t xml:space="preserve">                              </w:t>
            </w:r>
            <w:r w:rsidR="00367ED8">
              <w:rPr>
                <w:b/>
                <w:bCs/>
                <w:sz w:val="20"/>
                <w:szCs w:val="20"/>
              </w:rPr>
              <w:t xml:space="preserve">ABC Emeklilik Yatırım Fonu </w:t>
            </w:r>
          </w:p>
        </w:tc>
        <w:tc>
          <w:tcPr>
            <w:tcW w:w="4923" w:type="dxa"/>
            <w:gridSpan w:val="2"/>
            <w:tcMar>
              <w:top w:w="0" w:type="dxa"/>
              <w:left w:w="108" w:type="dxa"/>
              <w:bottom w:w="0" w:type="dxa"/>
              <w:right w:w="108" w:type="dxa"/>
            </w:tcMar>
            <w:hideMark/>
          </w:tcPr>
          <w:p w:rsidR="00367ED8" w:rsidRDefault="00367ED8" w:rsidP="002008F5">
            <w:pPr>
              <w:pStyle w:val="Default"/>
              <w:rPr>
                <w:sz w:val="20"/>
                <w:szCs w:val="20"/>
              </w:rPr>
            </w:pPr>
            <w:r>
              <w:rPr>
                <w:b/>
                <w:bCs/>
                <w:sz w:val="20"/>
                <w:szCs w:val="20"/>
              </w:rPr>
              <w:t xml:space="preserve">XYZ Emeklilik Yatırım Fonu </w:t>
            </w:r>
          </w:p>
        </w:tc>
      </w:tr>
      <w:tr w:rsidR="00367ED8" w:rsidTr="00367ED8">
        <w:trPr>
          <w:trHeight w:val="349"/>
        </w:trPr>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Net Basit Getiri </w:t>
            </w:r>
          </w:p>
          <w:p w:rsidR="00367ED8" w:rsidRDefault="00367ED8" w:rsidP="002008F5">
            <w:pPr>
              <w:pStyle w:val="Default"/>
              <w:rPr>
                <w:sz w:val="20"/>
                <w:szCs w:val="20"/>
              </w:rPr>
            </w:pPr>
            <w:r>
              <w:rPr>
                <w:i/>
                <w:iCs/>
                <w:sz w:val="20"/>
                <w:szCs w:val="20"/>
              </w:rPr>
              <w:t>(Dönem sonu birim fiyat - Dönem başı birim fiyat) / Dönem başı birim fiyat</w:t>
            </w:r>
            <w:proofErr w:type="gramStart"/>
            <w:r>
              <w:rPr>
                <w:i/>
                <w:iCs/>
                <w:sz w:val="20"/>
                <w:szCs w:val="20"/>
              </w:rPr>
              <w:t>)</w:t>
            </w:r>
            <w:proofErr w:type="gramEnd"/>
            <w:r>
              <w:rPr>
                <w:i/>
                <w:iCs/>
                <w:sz w:val="20"/>
                <w:szCs w:val="20"/>
              </w:rPr>
              <w:t xml:space="preserve"> </w:t>
            </w:r>
          </w:p>
        </w:tc>
        <w:tc>
          <w:tcPr>
            <w:tcW w:w="3282" w:type="dxa"/>
            <w:gridSpan w:val="2"/>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%14,00 </w:t>
            </w:r>
          </w:p>
        </w:tc>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%15,22 </w:t>
            </w:r>
          </w:p>
        </w:tc>
      </w:tr>
      <w:tr w:rsidR="00367ED8" w:rsidTr="00367ED8">
        <w:trPr>
          <w:trHeight w:val="85"/>
        </w:trPr>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Gerçekleşen Fon Toplam Giderleri Oranı </w:t>
            </w:r>
          </w:p>
        </w:tc>
        <w:tc>
          <w:tcPr>
            <w:tcW w:w="3282" w:type="dxa"/>
            <w:gridSpan w:val="2"/>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%2,50 (*) </w:t>
            </w:r>
          </w:p>
        </w:tc>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%2,28 (*) </w:t>
            </w:r>
          </w:p>
        </w:tc>
      </w:tr>
      <w:tr w:rsidR="00367ED8" w:rsidTr="00367ED8">
        <w:trPr>
          <w:trHeight w:val="84"/>
        </w:trPr>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Azami Toplam Gider Oranı </w:t>
            </w:r>
          </w:p>
        </w:tc>
        <w:tc>
          <w:tcPr>
            <w:tcW w:w="3282" w:type="dxa"/>
            <w:gridSpan w:val="2"/>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%2,28 </w:t>
            </w:r>
          </w:p>
        </w:tc>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%2,28 </w:t>
            </w:r>
          </w:p>
        </w:tc>
      </w:tr>
      <w:tr w:rsidR="00367ED8" w:rsidTr="00367ED8">
        <w:trPr>
          <w:trHeight w:val="85"/>
        </w:trPr>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Kurucu Tarafından Karşılanan Giderlerin Oranı </w:t>
            </w:r>
          </w:p>
        </w:tc>
        <w:tc>
          <w:tcPr>
            <w:tcW w:w="3282" w:type="dxa"/>
            <w:gridSpan w:val="2"/>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%0,22 (**) </w:t>
            </w:r>
          </w:p>
        </w:tc>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%1,00 (***) </w:t>
            </w:r>
          </w:p>
        </w:tc>
      </w:tr>
      <w:tr w:rsidR="00367ED8" w:rsidTr="00367ED8">
        <w:trPr>
          <w:trHeight w:val="452"/>
        </w:trPr>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Net Gider Oranı </w:t>
            </w:r>
          </w:p>
          <w:p w:rsidR="00367ED8" w:rsidRDefault="00367ED8" w:rsidP="002008F5">
            <w:pPr>
              <w:pStyle w:val="Default"/>
              <w:rPr>
                <w:sz w:val="20"/>
                <w:szCs w:val="20"/>
              </w:rPr>
            </w:pPr>
            <w:r>
              <w:rPr>
                <w:i/>
                <w:iCs/>
                <w:sz w:val="20"/>
                <w:szCs w:val="20"/>
              </w:rPr>
              <w:t xml:space="preserve">(Gerçekleşen fon toplam gider oranı - Dönem içinde kurucu tarafından karşılanan fon giderlerinin toplamının oranı) </w:t>
            </w:r>
          </w:p>
        </w:tc>
        <w:tc>
          <w:tcPr>
            <w:tcW w:w="3282" w:type="dxa"/>
            <w:gridSpan w:val="2"/>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%2,50 </w:t>
            </w:r>
          </w:p>
        </w:tc>
        <w:tc>
          <w:tcPr>
            <w:tcW w:w="3282" w:type="dxa"/>
            <w:tcMar>
              <w:top w:w="0" w:type="dxa"/>
              <w:left w:w="108" w:type="dxa"/>
              <w:bottom w:w="0" w:type="dxa"/>
              <w:right w:w="108" w:type="dxa"/>
            </w:tcMar>
            <w:hideMark/>
          </w:tcPr>
          <w:p w:rsidR="00367ED8" w:rsidRDefault="00367ED8" w:rsidP="002008F5">
            <w:pPr>
              <w:pStyle w:val="Default"/>
              <w:rPr>
                <w:sz w:val="20"/>
                <w:szCs w:val="20"/>
              </w:rPr>
            </w:pPr>
            <w:r>
              <w:rPr>
                <w:sz w:val="20"/>
                <w:szCs w:val="20"/>
              </w:rPr>
              <w:t xml:space="preserve">%1,28 </w:t>
            </w:r>
          </w:p>
        </w:tc>
      </w:tr>
      <w:tr w:rsidR="00367ED8" w:rsidTr="00367ED8">
        <w:trPr>
          <w:trHeight w:val="84"/>
        </w:trPr>
        <w:tc>
          <w:tcPr>
            <w:tcW w:w="3282" w:type="dxa"/>
            <w:tcMar>
              <w:top w:w="0" w:type="dxa"/>
              <w:left w:w="108" w:type="dxa"/>
              <w:bottom w:w="0" w:type="dxa"/>
              <w:right w:w="108" w:type="dxa"/>
            </w:tcMar>
            <w:hideMark/>
          </w:tcPr>
          <w:p w:rsidR="00367ED8" w:rsidRDefault="00367ED8">
            <w:pPr>
              <w:pStyle w:val="Default"/>
              <w:rPr>
                <w:sz w:val="20"/>
                <w:szCs w:val="20"/>
              </w:rPr>
            </w:pPr>
            <w:r>
              <w:rPr>
                <w:sz w:val="20"/>
                <w:szCs w:val="20"/>
              </w:rPr>
              <w:t xml:space="preserve">Brüt Getiri </w:t>
            </w:r>
          </w:p>
        </w:tc>
        <w:tc>
          <w:tcPr>
            <w:tcW w:w="3282" w:type="dxa"/>
            <w:gridSpan w:val="2"/>
            <w:tcMar>
              <w:top w:w="0" w:type="dxa"/>
              <w:left w:w="108" w:type="dxa"/>
              <w:bottom w:w="0" w:type="dxa"/>
              <w:right w:w="108" w:type="dxa"/>
            </w:tcMar>
            <w:hideMark/>
          </w:tcPr>
          <w:p w:rsidR="00367ED8" w:rsidRDefault="00367ED8">
            <w:pPr>
              <w:pStyle w:val="Default"/>
              <w:rPr>
                <w:sz w:val="20"/>
                <w:szCs w:val="20"/>
              </w:rPr>
            </w:pPr>
            <w:r>
              <w:rPr>
                <w:sz w:val="20"/>
                <w:szCs w:val="20"/>
              </w:rPr>
              <w:t xml:space="preserve">%16,50 </w:t>
            </w:r>
          </w:p>
        </w:tc>
        <w:tc>
          <w:tcPr>
            <w:tcW w:w="3282" w:type="dxa"/>
            <w:tcMar>
              <w:top w:w="0" w:type="dxa"/>
              <w:left w:w="108" w:type="dxa"/>
              <w:bottom w:w="0" w:type="dxa"/>
              <w:right w:w="108" w:type="dxa"/>
            </w:tcMar>
            <w:hideMark/>
          </w:tcPr>
          <w:p w:rsidR="00367ED8" w:rsidRDefault="00367ED8">
            <w:pPr>
              <w:pStyle w:val="Default"/>
              <w:rPr>
                <w:sz w:val="20"/>
                <w:szCs w:val="20"/>
              </w:rPr>
            </w:pPr>
            <w:r>
              <w:rPr>
                <w:sz w:val="20"/>
                <w:szCs w:val="20"/>
              </w:rPr>
              <w:t xml:space="preserve">%16,50 </w:t>
            </w:r>
          </w:p>
        </w:tc>
      </w:tr>
      <w:tr w:rsidR="00367ED8" w:rsidTr="00367ED8">
        <w:tc>
          <w:tcPr>
            <w:tcW w:w="3285" w:type="dxa"/>
            <w:vAlign w:val="center"/>
            <w:hideMark/>
          </w:tcPr>
          <w:p w:rsidR="00367ED8" w:rsidRDefault="00367ED8">
            <w:pPr>
              <w:rPr>
                <w:rFonts w:eastAsia="Times New Roman"/>
                <w:sz w:val="20"/>
                <w:szCs w:val="20"/>
              </w:rPr>
            </w:pPr>
          </w:p>
        </w:tc>
        <w:tc>
          <w:tcPr>
            <w:tcW w:w="1635" w:type="dxa"/>
            <w:vAlign w:val="center"/>
            <w:hideMark/>
          </w:tcPr>
          <w:p w:rsidR="00367ED8" w:rsidRDefault="00367ED8">
            <w:pPr>
              <w:rPr>
                <w:rFonts w:eastAsia="Times New Roman"/>
                <w:sz w:val="20"/>
                <w:szCs w:val="20"/>
              </w:rPr>
            </w:pPr>
          </w:p>
        </w:tc>
        <w:tc>
          <w:tcPr>
            <w:tcW w:w="1635" w:type="dxa"/>
            <w:vAlign w:val="center"/>
            <w:hideMark/>
          </w:tcPr>
          <w:p w:rsidR="00367ED8" w:rsidRDefault="00367ED8">
            <w:pPr>
              <w:rPr>
                <w:rFonts w:eastAsia="Times New Roman"/>
                <w:sz w:val="20"/>
                <w:szCs w:val="20"/>
              </w:rPr>
            </w:pPr>
          </w:p>
        </w:tc>
        <w:tc>
          <w:tcPr>
            <w:tcW w:w="3285" w:type="dxa"/>
            <w:vAlign w:val="center"/>
            <w:hideMark/>
          </w:tcPr>
          <w:p w:rsidR="00367ED8" w:rsidRDefault="00367ED8">
            <w:pPr>
              <w:rPr>
                <w:rFonts w:eastAsia="Times New Roman"/>
                <w:sz w:val="20"/>
                <w:szCs w:val="20"/>
              </w:rPr>
            </w:pPr>
          </w:p>
        </w:tc>
      </w:tr>
    </w:tbl>
    <w:p w:rsidR="00F37BF0" w:rsidRDefault="00F37BF0"/>
    <w:p w:rsidR="009C4256" w:rsidRPr="009C4256" w:rsidRDefault="009C4256" w:rsidP="009C4256">
      <w:pPr>
        <w:jc w:val="both"/>
        <w:rPr>
          <w:rFonts w:ascii="Arial" w:hAnsi="Arial" w:cs="Arial"/>
          <w:sz w:val="20"/>
          <w:szCs w:val="20"/>
        </w:rPr>
      </w:pPr>
      <w:r w:rsidRPr="009C4256">
        <w:rPr>
          <w:rFonts w:ascii="Arial" w:hAnsi="Arial" w:cs="Arial"/>
          <w:sz w:val="20"/>
          <w:szCs w:val="20"/>
        </w:rPr>
        <w:t xml:space="preserve">(*) Her iki örnekte de kurucu tarafından karşılananlar da </w:t>
      </w:r>
      <w:proofErr w:type="gramStart"/>
      <w:r w:rsidRPr="009C4256">
        <w:rPr>
          <w:rFonts w:ascii="Arial" w:hAnsi="Arial" w:cs="Arial"/>
          <w:sz w:val="20"/>
          <w:szCs w:val="20"/>
        </w:rPr>
        <w:t>dahil</w:t>
      </w:r>
      <w:proofErr w:type="gramEnd"/>
      <w:r w:rsidRPr="009C4256">
        <w:rPr>
          <w:rFonts w:ascii="Arial" w:hAnsi="Arial" w:cs="Arial"/>
          <w:sz w:val="20"/>
          <w:szCs w:val="20"/>
        </w:rPr>
        <w:t xml:space="preserve"> olmak üzere, tüm fon giderleri fon muhasebesine yansıtılarak hesaplanmıştır. </w:t>
      </w:r>
    </w:p>
    <w:p w:rsidR="009C4256" w:rsidRPr="009C4256" w:rsidRDefault="009C4256" w:rsidP="009C4256">
      <w:pPr>
        <w:jc w:val="both"/>
        <w:rPr>
          <w:rFonts w:ascii="Arial" w:hAnsi="Arial" w:cs="Arial"/>
          <w:sz w:val="20"/>
          <w:szCs w:val="20"/>
        </w:rPr>
      </w:pPr>
      <w:r w:rsidRPr="009C4256">
        <w:rPr>
          <w:rFonts w:ascii="Arial" w:hAnsi="Arial" w:cs="Arial"/>
          <w:sz w:val="20"/>
          <w:szCs w:val="20"/>
        </w:rPr>
        <w:t xml:space="preserve">(**) Azami toplam gider oranının aşılması nedeniyle kurucu tarafından dönem sonunu takip eden 5 iş günü içinde fona iade edilen giderlerin </w:t>
      </w:r>
    </w:p>
    <w:p w:rsidR="009C4256" w:rsidRPr="009C4256" w:rsidRDefault="009C4256" w:rsidP="009C4256">
      <w:pPr>
        <w:jc w:val="both"/>
        <w:rPr>
          <w:rFonts w:ascii="Arial" w:hAnsi="Arial" w:cs="Arial"/>
          <w:sz w:val="20"/>
          <w:szCs w:val="20"/>
        </w:rPr>
      </w:pPr>
      <w:proofErr w:type="gramStart"/>
      <w:r w:rsidRPr="009C4256">
        <w:rPr>
          <w:rFonts w:ascii="Arial" w:hAnsi="Arial" w:cs="Arial"/>
          <w:sz w:val="20"/>
          <w:szCs w:val="20"/>
        </w:rPr>
        <w:t>oranını</w:t>
      </w:r>
      <w:proofErr w:type="gramEnd"/>
      <w:r w:rsidRPr="009C4256">
        <w:rPr>
          <w:rFonts w:ascii="Arial" w:hAnsi="Arial" w:cs="Arial"/>
          <w:sz w:val="20"/>
          <w:szCs w:val="20"/>
        </w:rPr>
        <w:t xml:space="preserve"> ifade etmektedir. Bu sebeple, karşılanan bu giderler fonun ilgili döneme ilişkin net giderlerinin hesaplanmasına </w:t>
      </w:r>
      <w:proofErr w:type="gramStart"/>
      <w:r w:rsidRPr="009C4256">
        <w:rPr>
          <w:rFonts w:ascii="Arial" w:hAnsi="Arial" w:cs="Arial"/>
          <w:sz w:val="20"/>
          <w:szCs w:val="20"/>
        </w:rPr>
        <w:t>dahil</w:t>
      </w:r>
      <w:proofErr w:type="gramEnd"/>
      <w:r w:rsidRPr="009C4256">
        <w:rPr>
          <w:rFonts w:ascii="Arial" w:hAnsi="Arial" w:cs="Arial"/>
          <w:sz w:val="20"/>
          <w:szCs w:val="20"/>
        </w:rPr>
        <w:t xml:space="preserve"> edilmemektedir. </w:t>
      </w:r>
    </w:p>
    <w:p w:rsidR="009C4256" w:rsidRPr="009C4256" w:rsidRDefault="009C4256" w:rsidP="009C4256">
      <w:pPr>
        <w:jc w:val="both"/>
        <w:rPr>
          <w:rFonts w:ascii="Arial" w:hAnsi="Arial" w:cs="Arial"/>
          <w:sz w:val="20"/>
          <w:szCs w:val="20"/>
        </w:rPr>
      </w:pPr>
      <w:r w:rsidRPr="009C4256">
        <w:rPr>
          <w:rFonts w:ascii="Arial" w:hAnsi="Arial" w:cs="Arial"/>
          <w:sz w:val="20"/>
          <w:szCs w:val="20"/>
        </w:rPr>
        <w:t xml:space="preserve">Bu örnekte, kurucu tarafından karşılanan fon giderleri için dönem içinde fon muhasebesinde kurucudan herhangi bir alacak kaydı </w:t>
      </w:r>
    </w:p>
    <w:p w:rsidR="009C4256" w:rsidRPr="009C4256" w:rsidRDefault="009C4256" w:rsidP="009C4256">
      <w:pPr>
        <w:jc w:val="both"/>
        <w:rPr>
          <w:rFonts w:ascii="Arial" w:hAnsi="Arial" w:cs="Arial"/>
          <w:sz w:val="20"/>
          <w:szCs w:val="20"/>
        </w:rPr>
      </w:pPr>
      <w:proofErr w:type="gramStart"/>
      <w:r w:rsidRPr="009C4256">
        <w:rPr>
          <w:rFonts w:ascii="Arial" w:hAnsi="Arial" w:cs="Arial"/>
          <w:sz w:val="20"/>
          <w:szCs w:val="20"/>
        </w:rPr>
        <w:t>oluşturulmadığı</w:t>
      </w:r>
      <w:proofErr w:type="gramEnd"/>
      <w:r w:rsidRPr="009C4256">
        <w:rPr>
          <w:rFonts w:ascii="Arial" w:hAnsi="Arial" w:cs="Arial"/>
          <w:sz w:val="20"/>
          <w:szCs w:val="20"/>
        </w:rPr>
        <w:t xml:space="preserve"> varsayılmıştır. Oluşturulması halinde ise XYZ Emeklilik Yatırım Fonu için yapılan hesaplama örneği uygulanır. </w:t>
      </w:r>
    </w:p>
    <w:p w:rsidR="009C4256" w:rsidRPr="009C4256" w:rsidRDefault="009C4256" w:rsidP="009C4256">
      <w:pPr>
        <w:jc w:val="both"/>
        <w:rPr>
          <w:rFonts w:ascii="Arial" w:hAnsi="Arial" w:cs="Arial"/>
          <w:sz w:val="20"/>
          <w:szCs w:val="20"/>
        </w:rPr>
      </w:pPr>
      <w:r w:rsidRPr="009C4256">
        <w:rPr>
          <w:rFonts w:ascii="Arial" w:hAnsi="Arial" w:cs="Arial"/>
          <w:sz w:val="20"/>
          <w:szCs w:val="20"/>
        </w:rPr>
        <w:t xml:space="preserve">(***) Azami fon toplam gider oranı aşılmamasına rağmen, dönem içinde kurucu tarafından karşılanmış fon giderlerini ifade etmektedir. Bu </w:t>
      </w:r>
    </w:p>
    <w:p w:rsidR="009C4256" w:rsidRPr="009C4256" w:rsidRDefault="009C4256" w:rsidP="009C4256">
      <w:pPr>
        <w:jc w:val="both"/>
        <w:rPr>
          <w:rFonts w:ascii="Arial" w:hAnsi="Arial" w:cs="Arial"/>
          <w:sz w:val="20"/>
          <w:szCs w:val="20"/>
        </w:rPr>
      </w:pPr>
      <w:proofErr w:type="gramStart"/>
      <w:r w:rsidRPr="009C4256">
        <w:rPr>
          <w:rFonts w:ascii="Arial" w:hAnsi="Arial" w:cs="Arial"/>
          <w:sz w:val="20"/>
          <w:szCs w:val="20"/>
        </w:rPr>
        <w:t>sebeple</w:t>
      </w:r>
      <w:proofErr w:type="gramEnd"/>
      <w:r w:rsidRPr="009C4256">
        <w:rPr>
          <w:rFonts w:ascii="Arial" w:hAnsi="Arial" w:cs="Arial"/>
          <w:sz w:val="20"/>
          <w:szCs w:val="20"/>
        </w:rPr>
        <w:t xml:space="preserve">, karşılanan bu giderler fonun ilgili döneme ilişkin net giderlerinin hesaplanmasına dahil edilmiştir. Bu örnekte, kurucu tarafından </w:t>
      </w:r>
    </w:p>
    <w:p w:rsidR="009C4256" w:rsidRPr="009C4256" w:rsidRDefault="009C4256" w:rsidP="009C4256">
      <w:pPr>
        <w:jc w:val="both"/>
        <w:rPr>
          <w:rFonts w:ascii="Arial" w:hAnsi="Arial" w:cs="Arial"/>
          <w:sz w:val="20"/>
          <w:szCs w:val="20"/>
        </w:rPr>
      </w:pPr>
      <w:proofErr w:type="gramStart"/>
      <w:r w:rsidRPr="009C4256">
        <w:rPr>
          <w:rFonts w:ascii="Arial" w:hAnsi="Arial" w:cs="Arial"/>
          <w:sz w:val="20"/>
          <w:szCs w:val="20"/>
        </w:rPr>
        <w:t>karşılanan</w:t>
      </w:r>
      <w:proofErr w:type="gramEnd"/>
      <w:r w:rsidRPr="009C4256">
        <w:rPr>
          <w:rFonts w:ascii="Arial" w:hAnsi="Arial" w:cs="Arial"/>
          <w:sz w:val="20"/>
          <w:szCs w:val="20"/>
        </w:rPr>
        <w:t xml:space="preserve"> fon giderleri için dönem içinde fon muhasebesinde kurucudan alacak kaydı oluşturulduğu varsayılmı</w:t>
      </w:r>
      <w:bookmarkStart w:id="0" w:name="_GoBack"/>
      <w:bookmarkEnd w:id="0"/>
      <w:r w:rsidRPr="009C4256">
        <w:rPr>
          <w:rFonts w:ascii="Arial" w:hAnsi="Arial" w:cs="Arial"/>
          <w:sz w:val="20"/>
          <w:szCs w:val="20"/>
        </w:rPr>
        <w:t>ştır.</w:t>
      </w:r>
    </w:p>
    <w:sectPr w:rsidR="009C4256" w:rsidRPr="009C4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64322"/>
    <w:multiLevelType w:val="hybridMultilevel"/>
    <w:tmpl w:val="12DE52F8"/>
    <w:lvl w:ilvl="0" w:tplc="9E84BD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D8"/>
    <w:rsid w:val="000F6ADE"/>
    <w:rsid w:val="002008F5"/>
    <w:rsid w:val="00367ED8"/>
    <w:rsid w:val="00377DDF"/>
    <w:rsid w:val="009C4256"/>
    <w:rsid w:val="00EB631E"/>
    <w:rsid w:val="00F37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D8"/>
    <w:pPr>
      <w:spacing w:after="0" w:line="240" w:lineRule="auto"/>
    </w:pPr>
    <w:rPr>
      <w:rFonts w:ascii="Times New Roman" w:hAnsi="Times New Roman" w:cs="Times New Roman"/>
      <w:sz w:val="24"/>
      <w:szCs w:val="24"/>
      <w:lang w:eastAsia="tr-TR"/>
    </w:rPr>
  </w:style>
  <w:style w:type="paragraph" w:styleId="Balk2">
    <w:name w:val="heading 2"/>
    <w:basedOn w:val="Normal"/>
    <w:next w:val="Normal"/>
    <w:link w:val="Balk2Char"/>
    <w:autoRedefine/>
    <w:qFormat/>
    <w:rsid w:val="00367ED8"/>
    <w:pPr>
      <w:keepNext/>
      <w:widowControl w:val="0"/>
      <w:ind w:right="170"/>
      <w:jc w:val="center"/>
      <w:outlineLvl w:val="1"/>
    </w:pPr>
    <w:rPr>
      <w:rFonts w:ascii="Arial" w:eastAsia="ヒラギノ明朝 Pro W3" w:hAnsi="Arial" w:cs="Arial"/>
      <w:b/>
      <w:bCs/>
      <w:noProof/>
      <w:sz w:val="20"/>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uiPriority w:val="99"/>
    <w:rsid w:val="00367ED8"/>
    <w:pPr>
      <w:autoSpaceDE w:val="0"/>
      <w:autoSpaceDN w:val="0"/>
    </w:pPr>
    <w:rPr>
      <w:rFonts w:ascii="Arial" w:hAnsi="Arial" w:cs="Arial"/>
      <w:color w:val="000000"/>
      <w:lang w:eastAsia="en-US"/>
    </w:rPr>
  </w:style>
  <w:style w:type="character" w:customStyle="1" w:styleId="Balk2Char">
    <w:name w:val="Başlık 2 Char"/>
    <w:basedOn w:val="VarsaylanParagrafYazTipi"/>
    <w:link w:val="Balk2"/>
    <w:rsid w:val="00367ED8"/>
    <w:rPr>
      <w:rFonts w:ascii="Arial" w:eastAsia="ヒラギノ明朝 Pro W3" w:hAnsi="Arial" w:cs="Arial"/>
      <w:b/>
      <w:bCs/>
      <w:noProof/>
      <w:sz w:val="20"/>
    </w:rPr>
  </w:style>
  <w:style w:type="paragraph" w:styleId="ListeParagraf">
    <w:name w:val="List Paragraph"/>
    <w:basedOn w:val="Normal"/>
    <w:uiPriority w:val="34"/>
    <w:qFormat/>
    <w:rsid w:val="00367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D8"/>
    <w:pPr>
      <w:spacing w:after="0" w:line="240" w:lineRule="auto"/>
    </w:pPr>
    <w:rPr>
      <w:rFonts w:ascii="Times New Roman" w:hAnsi="Times New Roman" w:cs="Times New Roman"/>
      <w:sz w:val="24"/>
      <w:szCs w:val="24"/>
      <w:lang w:eastAsia="tr-TR"/>
    </w:rPr>
  </w:style>
  <w:style w:type="paragraph" w:styleId="Balk2">
    <w:name w:val="heading 2"/>
    <w:basedOn w:val="Normal"/>
    <w:next w:val="Normal"/>
    <w:link w:val="Balk2Char"/>
    <w:autoRedefine/>
    <w:qFormat/>
    <w:rsid w:val="00367ED8"/>
    <w:pPr>
      <w:keepNext/>
      <w:widowControl w:val="0"/>
      <w:ind w:right="170"/>
      <w:jc w:val="center"/>
      <w:outlineLvl w:val="1"/>
    </w:pPr>
    <w:rPr>
      <w:rFonts w:ascii="Arial" w:eastAsia="ヒラギノ明朝 Pro W3" w:hAnsi="Arial" w:cs="Arial"/>
      <w:b/>
      <w:bCs/>
      <w:noProof/>
      <w:sz w:val="20"/>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uiPriority w:val="99"/>
    <w:rsid w:val="00367ED8"/>
    <w:pPr>
      <w:autoSpaceDE w:val="0"/>
      <w:autoSpaceDN w:val="0"/>
    </w:pPr>
    <w:rPr>
      <w:rFonts w:ascii="Arial" w:hAnsi="Arial" w:cs="Arial"/>
      <w:color w:val="000000"/>
      <w:lang w:eastAsia="en-US"/>
    </w:rPr>
  </w:style>
  <w:style w:type="character" w:customStyle="1" w:styleId="Balk2Char">
    <w:name w:val="Başlık 2 Char"/>
    <w:basedOn w:val="VarsaylanParagrafYazTipi"/>
    <w:link w:val="Balk2"/>
    <w:rsid w:val="00367ED8"/>
    <w:rPr>
      <w:rFonts w:ascii="Arial" w:eastAsia="ヒラギノ明朝 Pro W3" w:hAnsi="Arial" w:cs="Arial"/>
      <w:b/>
      <w:bCs/>
      <w:noProof/>
      <w:sz w:val="20"/>
    </w:rPr>
  </w:style>
  <w:style w:type="paragraph" w:styleId="ListeParagraf">
    <w:name w:val="List Paragraph"/>
    <w:basedOn w:val="Normal"/>
    <w:uiPriority w:val="34"/>
    <w:qFormat/>
    <w:rsid w:val="0036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6</cp:revision>
  <dcterms:created xsi:type="dcterms:W3CDTF">2014-02-27T09:49:00Z</dcterms:created>
  <dcterms:modified xsi:type="dcterms:W3CDTF">2014-02-27T14:57:00Z</dcterms:modified>
</cp:coreProperties>
</file>