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6D" w:rsidRPr="00EA4CCB" w:rsidRDefault="00E22D6D" w:rsidP="00E22D6D">
      <w:pPr>
        <w:pStyle w:val="Balk2"/>
        <w:rPr>
          <w:rFonts w:ascii="Times New Roman" w:hAnsi="Times New Roman" w:cs="Times New Roman"/>
          <w:sz w:val="24"/>
          <w:szCs w:val="24"/>
        </w:rPr>
      </w:pPr>
      <w:bookmarkStart w:id="0" w:name="_Toc128199228"/>
      <w:bookmarkStart w:id="1" w:name="_GoBack"/>
      <w:bookmarkEnd w:id="1"/>
      <w:r w:rsidRPr="00EA4CCB">
        <w:rPr>
          <w:rFonts w:ascii="Times New Roman" w:hAnsi="Times New Roman" w:cs="Times New Roman"/>
          <w:sz w:val="24"/>
          <w:szCs w:val="24"/>
        </w:rPr>
        <w:t xml:space="preserve">SERMAYE PİYASASI KURULUNUN </w:t>
      </w:r>
      <w:r>
        <w:rPr>
          <w:rFonts w:ascii="Times New Roman" w:hAnsi="Times New Roman" w:cs="Times New Roman"/>
          <w:sz w:val="24"/>
          <w:szCs w:val="24"/>
        </w:rPr>
        <w:t>27.05.2019</w:t>
      </w:r>
      <w:r w:rsidRPr="00EA4CCB">
        <w:rPr>
          <w:rFonts w:ascii="Times New Roman" w:hAnsi="Times New Roman" w:cs="Times New Roman"/>
          <w:sz w:val="24"/>
          <w:szCs w:val="24"/>
        </w:rPr>
        <w:t xml:space="preserve"> TARİH VE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4C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A4CCB">
        <w:rPr>
          <w:rFonts w:ascii="Times New Roman" w:hAnsi="Times New Roman" w:cs="Times New Roman"/>
          <w:sz w:val="24"/>
          <w:szCs w:val="24"/>
        </w:rPr>
        <w:t xml:space="preserve"> SAYILI İLKE KARARI</w:t>
      </w:r>
      <w:bookmarkEnd w:id="0"/>
    </w:p>
    <w:p w:rsidR="00E22D6D" w:rsidRPr="00EA4CCB" w:rsidRDefault="00E22D6D" w:rsidP="00E22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D6D" w:rsidRPr="00E22D6D" w:rsidRDefault="00E22D6D" w:rsidP="00E22D6D">
      <w:pPr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</w:pPr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 xml:space="preserve">Kurul Karar </w:t>
      </w:r>
      <w:proofErr w:type="spellStart"/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>Organı’nın</w:t>
      </w:r>
      <w:proofErr w:type="spellEnd"/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 xml:space="preserve"> i-SPK.4632 s.kn.</w:t>
      </w:r>
      <w:proofErr w:type="gramStart"/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>17.3</w:t>
      </w:r>
      <w:proofErr w:type="gramEnd"/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 xml:space="preserve">.ı (27/05/2019 tarihli ve 31/729 </w:t>
      </w:r>
      <w:proofErr w:type="spellStart"/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>s.k</w:t>
      </w:r>
      <w:proofErr w:type="spellEnd"/>
      <w:r w:rsidRPr="00E22D6D">
        <w:rPr>
          <w:rFonts w:ascii="Times New Roman" w:eastAsia="Arial" w:hAnsi="Times New Roman" w:cs="Times New Roman"/>
          <w:b/>
          <w:bCs/>
          <w:sz w:val="20"/>
          <w:szCs w:val="20"/>
          <w:lang w:eastAsia="tr-TR" w:bidi="tr-TR"/>
        </w:rPr>
        <w:t>.) sayılı İlke Kararı:</w:t>
      </w:r>
    </w:p>
    <w:p w:rsidR="00E22D6D" w:rsidRDefault="00E22D6D" w:rsidP="00E22D6D">
      <w:pPr>
        <w:pStyle w:val="ListeParagraf"/>
        <w:numPr>
          <w:ilvl w:val="0"/>
          <w:numId w:val="2"/>
        </w:numPr>
      </w:pPr>
      <w:r>
        <w:t xml:space="preserve">Kurulumuzun i-SPK.4632 s.kn. (03.03.2016 tarih ve 7/223 </w:t>
      </w:r>
      <w:proofErr w:type="spellStart"/>
      <w:r>
        <w:t>s.k</w:t>
      </w:r>
      <w:proofErr w:type="spellEnd"/>
      <w:r>
        <w:t>.) sayılı İlke Kararı olarak kabul edilen “Emeklilik Yatırım</w:t>
      </w:r>
    </w:p>
    <w:p w:rsidR="00E22D6D" w:rsidRDefault="00E22D6D" w:rsidP="00E22D6D">
      <w:r>
        <w:t xml:space="preserve">Fonlarına İlişkin </w:t>
      </w:r>
      <w:proofErr w:type="spellStart"/>
      <w:r>
        <w:t>Rehber”in</w:t>
      </w:r>
      <w:proofErr w:type="spellEnd"/>
      <w:r>
        <w:t>;</w:t>
      </w:r>
    </w:p>
    <w:p w:rsidR="00E22D6D" w:rsidRDefault="00E22D6D" w:rsidP="00E22D6D">
      <w:r>
        <w:t>i) “3.1.7. Para Piyasası ve Kısa Vadeli Borçlanma Araçları Fonlarına İlişkin Esaslar” başlık</w:t>
      </w:r>
      <w:r w:rsidR="00B47574">
        <w:t xml:space="preserve">lı bölümüne ikinci fıkra olarak </w:t>
      </w:r>
      <w:r>
        <w:t>aşağıdaki ifadenin eklenmesine,</w:t>
      </w:r>
    </w:p>
    <w:p w:rsidR="00E22D6D" w:rsidRDefault="00E22D6D" w:rsidP="00E22D6D">
      <w:r>
        <w:t xml:space="preserve">“Para piyasası fonlarının </w:t>
      </w:r>
      <w:proofErr w:type="gramStart"/>
      <w:r>
        <w:t>portföyünün</w:t>
      </w:r>
      <w:proofErr w:type="gramEnd"/>
      <w:r>
        <w:t xml:space="preserve"> asgari yüzde yirmi beşi devlet iç borçlanma senetlerinde yatırıma yönlendirilir.”</w:t>
      </w:r>
    </w:p>
    <w:p w:rsidR="00E22D6D" w:rsidRDefault="00E22D6D" w:rsidP="00E22D6D">
      <w:r>
        <w:t>ii) “</w:t>
      </w:r>
      <w:proofErr w:type="gramStart"/>
      <w:r>
        <w:t>3.6</w:t>
      </w:r>
      <w:proofErr w:type="gramEnd"/>
      <w:r>
        <w:t>. Standart Fonlara İlişkin Esaslar” başlıklı bölümünün birinci fıkrasının (b) ve (c</w:t>
      </w:r>
      <w:r w:rsidR="00B47574">
        <w:t xml:space="preserve">) bentlerinin aşağıdaki şekilde </w:t>
      </w:r>
      <w:r>
        <w:t>değiştirilmesine</w:t>
      </w:r>
    </w:p>
    <w:p w:rsidR="00E22D6D" w:rsidRDefault="00E22D6D" w:rsidP="00E22D6D">
      <w:r>
        <w:t>“b) Asgari yüzde onu, BIST 100, BIST Sürdürülebilirlik Endeksi, BIST Kurumsal Yönetim Endeksi ve</w:t>
      </w:r>
      <w:r w:rsidR="00B47574">
        <w:t xml:space="preserve"> Borsa İstanbul A.Ş. </w:t>
      </w:r>
      <w:r>
        <w:t>tarafından hesaplanan katılım endekslerindeki paylarda,</w:t>
      </w:r>
    </w:p>
    <w:p w:rsidR="00E22D6D" w:rsidRDefault="00E22D6D" w:rsidP="00E22D6D">
      <w:r>
        <w:t>c) Azami yüzde otuzu;</w:t>
      </w:r>
    </w:p>
    <w:p w:rsidR="00E22D6D" w:rsidRDefault="00E22D6D" w:rsidP="00E22D6D">
      <w:proofErr w:type="gramStart"/>
      <w:r>
        <w:t>i</w:t>
      </w:r>
      <w:proofErr w:type="gramEnd"/>
      <w:r>
        <w:t>. Türk Lirası cinsinden ve Borsada işlem görmesi kaydıyla bankalar veya yatırım yapı</w:t>
      </w:r>
      <w:r w:rsidR="00B47574">
        <w:t xml:space="preserve">labilir seviyede derecelendirme </w:t>
      </w:r>
      <w:r>
        <w:t>notuna sahip olan diğer ihraççılar tarafından ihraç edilen borçlanma araçlarında,</w:t>
      </w:r>
    </w:p>
    <w:p w:rsidR="00E22D6D" w:rsidRDefault="00E22D6D" w:rsidP="00E22D6D">
      <w:r>
        <w:t>ii. Türk Lirası cinsinden Borsada işlem görmesi kaydıyla fon kullanıcısı bankalar olan ve</w:t>
      </w:r>
      <w:r w:rsidR="00B47574">
        <w:t xml:space="preserve">ya kendisi veya fon kullanıcısı </w:t>
      </w:r>
      <w:r>
        <w:t>yatırım yapılabilir seviyede derecelendirme notuna sahip olan kira sertifikalarında,</w:t>
      </w:r>
    </w:p>
    <w:p w:rsidR="00E22D6D" w:rsidRDefault="00E22D6D" w:rsidP="00E22D6D">
      <w:r>
        <w:t xml:space="preserve">iii. İpotek ve varlık teminatlı menkul kıymetlerde, ipoteğe ve varlığa dayalı menkul kıymetlerde, </w:t>
      </w:r>
      <w:proofErr w:type="spellStart"/>
      <w:r>
        <w:t>vaad</w:t>
      </w:r>
      <w:proofErr w:type="spellEnd"/>
      <w:r>
        <w:t xml:space="preserve"> sözleşmelerinde,”</w:t>
      </w:r>
    </w:p>
    <w:p w:rsidR="00E22D6D" w:rsidRDefault="00E22D6D" w:rsidP="00B47574">
      <w:pPr>
        <w:ind w:firstLine="708"/>
      </w:pPr>
      <w:r>
        <w:t xml:space="preserve">2) Emeklilik Rehberi’nin 3.1.7 ve 3.6. </w:t>
      </w:r>
      <w:proofErr w:type="spellStart"/>
      <w:r>
        <w:t>nolu</w:t>
      </w:r>
      <w:proofErr w:type="spellEnd"/>
      <w:r>
        <w:t xml:space="preserve"> maddeleri ile getirilen yeni sınırlamalar kapsamında oluşacak fon </w:t>
      </w:r>
      <w:proofErr w:type="gramStart"/>
      <w:r>
        <w:t>portföy</w:t>
      </w:r>
      <w:proofErr w:type="gramEnd"/>
      <w:r>
        <w:t xml:space="preserve"> yapısı</w:t>
      </w:r>
      <w:r w:rsidR="00B47574">
        <w:t xml:space="preserve"> </w:t>
      </w:r>
      <w:r>
        <w:t xml:space="preserve">değişiklikleri göz önüne alınarak fon içtüzüğü, </w:t>
      </w:r>
      <w:proofErr w:type="spellStart"/>
      <w:r>
        <w:t>izahnamesi</w:t>
      </w:r>
      <w:proofErr w:type="spellEnd"/>
      <w:r>
        <w:t xml:space="preserve"> ve tanıtım formunda yapılacak değ</w:t>
      </w:r>
      <w:r w:rsidR="00B47574">
        <w:t xml:space="preserve">işikliklerin ayrıca Kurul onayı </w:t>
      </w:r>
      <w:r>
        <w:t>aranmadan ilgili düzenlemelerde yer alan ilan ve tescil işlemleri yerine getirilerek yürürlüğe k</w:t>
      </w:r>
      <w:r w:rsidR="00B47574">
        <w:t xml:space="preserve">onulmasına ve fon karşılaştırma </w:t>
      </w:r>
      <w:r>
        <w:t>ölçütlerinde/eşik değerlerinde kurucular tarafından gerekli görülmesi durumunda değişiklik yapılabilmesine,</w:t>
      </w:r>
    </w:p>
    <w:p w:rsidR="00E22D6D" w:rsidRDefault="00E22D6D" w:rsidP="00B47574">
      <w:pPr>
        <w:ind w:firstLine="708"/>
      </w:pPr>
      <w:r>
        <w:t xml:space="preserve">3) Emeklilik Rehberi’nin 3.1.7 ve 3.6. </w:t>
      </w:r>
      <w:proofErr w:type="spellStart"/>
      <w:r>
        <w:t>nolu</w:t>
      </w:r>
      <w:proofErr w:type="spellEnd"/>
      <w:r>
        <w:t xml:space="preserve"> maddelerinde yapılan değişiklikler ile getirilen yeni </w:t>
      </w:r>
      <w:proofErr w:type="gramStart"/>
      <w:r>
        <w:t>portföy</w:t>
      </w:r>
      <w:proofErr w:type="gramEnd"/>
      <w:r>
        <w:t xml:space="preserve"> sınırlamalarına</w:t>
      </w:r>
      <w:r w:rsidR="00B47574">
        <w:t xml:space="preserve"> </w:t>
      </w:r>
      <w:r>
        <w:t>31.07.2019 tari</w:t>
      </w:r>
      <w:r w:rsidR="00B47574">
        <w:t xml:space="preserve">hi itibariyle uyum sağlanmasına </w:t>
      </w:r>
      <w:r>
        <w:t>karar verilmiştir.</w:t>
      </w:r>
    </w:p>
    <w:p w:rsidR="00E22D6D" w:rsidRDefault="00E22D6D" w:rsidP="00E22D6D">
      <w:r>
        <w:t>B. DİĞER ÖZEL DURUMLAR</w:t>
      </w:r>
    </w:p>
    <w:p w:rsidR="00FD29B7" w:rsidRDefault="00E22D6D" w:rsidP="00E22D6D">
      <w:r>
        <w:t>İhraç ettiği sermaye piyasası araçları bir borsada işlem görmeyen ortaklıkların özel durum açıklamalarına www.spk.gov.tr/apps/ofd/OzelDurumAciklamalari.aspx adresinden ulaşabilirsiniz.</w:t>
      </w:r>
    </w:p>
    <w:sectPr w:rsidR="00FD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91A"/>
    <w:multiLevelType w:val="hybridMultilevel"/>
    <w:tmpl w:val="E5C09C54"/>
    <w:lvl w:ilvl="0" w:tplc="D5662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569DD"/>
    <w:multiLevelType w:val="hybridMultilevel"/>
    <w:tmpl w:val="257A06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3"/>
    <w:rsid w:val="008C3563"/>
    <w:rsid w:val="00B47574"/>
    <w:rsid w:val="00E22D6D"/>
    <w:rsid w:val="00F25715"/>
    <w:rsid w:val="00FD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qFormat/>
    <w:rsid w:val="00E22D6D"/>
    <w:pPr>
      <w:keepNext/>
      <w:widowControl w:val="0"/>
      <w:spacing w:after="0" w:line="240" w:lineRule="auto"/>
      <w:ind w:right="170"/>
      <w:jc w:val="both"/>
      <w:outlineLvl w:val="1"/>
    </w:pPr>
    <w:rPr>
      <w:rFonts w:ascii="Arial" w:eastAsia="Times New Roman" w:hAnsi="Arial" w:cs="Arial"/>
      <w:b/>
      <w:noProof/>
      <w:kern w:val="1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22D6D"/>
    <w:rPr>
      <w:rFonts w:ascii="Arial" w:eastAsia="Times New Roman" w:hAnsi="Arial" w:cs="Arial"/>
      <w:b/>
      <w:noProof/>
      <w:kern w:val="16"/>
      <w:sz w:val="20"/>
      <w:szCs w:val="20"/>
    </w:rPr>
  </w:style>
  <w:style w:type="paragraph" w:styleId="ListeParagraf">
    <w:name w:val="List Paragraph"/>
    <w:basedOn w:val="Normal"/>
    <w:uiPriority w:val="34"/>
    <w:qFormat/>
    <w:rsid w:val="00E2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autoRedefine/>
    <w:qFormat/>
    <w:rsid w:val="00E22D6D"/>
    <w:pPr>
      <w:keepNext/>
      <w:widowControl w:val="0"/>
      <w:spacing w:after="0" w:line="240" w:lineRule="auto"/>
      <w:ind w:right="170"/>
      <w:jc w:val="both"/>
      <w:outlineLvl w:val="1"/>
    </w:pPr>
    <w:rPr>
      <w:rFonts w:ascii="Arial" w:eastAsia="Times New Roman" w:hAnsi="Arial" w:cs="Arial"/>
      <w:b/>
      <w:noProof/>
      <w:kern w:val="16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22D6D"/>
    <w:rPr>
      <w:rFonts w:ascii="Arial" w:eastAsia="Times New Roman" w:hAnsi="Arial" w:cs="Arial"/>
      <w:b/>
      <w:noProof/>
      <w:kern w:val="16"/>
      <w:sz w:val="20"/>
      <w:szCs w:val="20"/>
    </w:rPr>
  </w:style>
  <w:style w:type="paragraph" w:styleId="ListeParagraf">
    <w:name w:val="List Paragraph"/>
    <w:basedOn w:val="Normal"/>
    <w:uiPriority w:val="34"/>
    <w:qFormat/>
    <w:rsid w:val="00E2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KISAS</dc:creator>
  <cp:lastModifiedBy>Seren KISAS</cp:lastModifiedBy>
  <cp:revision>4</cp:revision>
  <cp:lastPrinted>2019-05-28T07:43:00Z</cp:lastPrinted>
  <dcterms:created xsi:type="dcterms:W3CDTF">2019-05-28T07:30:00Z</dcterms:created>
  <dcterms:modified xsi:type="dcterms:W3CDTF">2019-05-28T07:43:00Z</dcterms:modified>
</cp:coreProperties>
</file>