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B2" w:rsidRPr="002827B2" w:rsidRDefault="002827B2">
      <w:pPr>
        <w:rPr>
          <w:rFonts w:ascii="Arial" w:eastAsia="Times New Roman" w:hAnsi="Arial" w:cs="Arial"/>
          <w:sz w:val="20"/>
          <w:szCs w:val="20"/>
        </w:rPr>
      </w:pPr>
    </w:p>
    <w:p w:rsidR="002827B2" w:rsidRPr="002827B2" w:rsidRDefault="002827B2" w:rsidP="002827B2">
      <w:pPr>
        <w:tabs>
          <w:tab w:val="left" w:pos="567"/>
          <w:tab w:val="center" w:pos="994"/>
          <w:tab w:val="center" w:pos="3543"/>
          <w:tab w:val="right" w:pos="6520"/>
        </w:tabs>
        <w:spacing w:after="0" w:line="240" w:lineRule="auto"/>
        <w:rPr>
          <w:rFonts w:ascii="Arial" w:eastAsia="Times New Roman" w:hAnsi="Arial" w:cs="Arial"/>
          <w:b/>
          <w:kern w:val="16"/>
          <w:sz w:val="20"/>
          <w:szCs w:val="20"/>
        </w:rPr>
      </w:pPr>
      <w:r w:rsidRPr="002827B2">
        <w:rPr>
          <w:rFonts w:ascii="Arial" w:eastAsia="Times New Roman" w:hAnsi="Arial" w:cs="Arial"/>
          <w:b/>
          <w:kern w:val="16"/>
          <w:sz w:val="20"/>
          <w:szCs w:val="20"/>
        </w:rPr>
        <w:t>11 Haziran 2010 CUMA</w:t>
      </w:r>
    </w:p>
    <w:p w:rsidR="002827B2" w:rsidRPr="002827B2" w:rsidRDefault="002827B2" w:rsidP="002827B2">
      <w:pPr>
        <w:spacing w:after="0" w:line="240" w:lineRule="auto"/>
        <w:rPr>
          <w:rFonts w:ascii="Arial" w:eastAsia="Times New Roman" w:hAnsi="Arial" w:cs="Arial"/>
          <w:kern w:val="16"/>
          <w:sz w:val="20"/>
          <w:szCs w:val="20"/>
        </w:rPr>
      </w:pPr>
      <w:r w:rsidRPr="002827B2">
        <w:rPr>
          <w:rFonts w:ascii="Arial" w:eastAsia="Times New Roman" w:hAnsi="Arial" w:cs="Arial"/>
          <w:kern w:val="16"/>
          <w:sz w:val="20"/>
          <w:szCs w:val="20"/>
        </w:rPr>
        <w:t>Resmî Gazete</w:t>
      </w:r>
    </w:p>
    <w:p w:rsidR="002827B2" w:rsidRPr="002827B2" w:rsidRDefault="002827B2" w:rsidP="002827B2">
      <w:pPr>
        <w:spacing w:after="0" w:line="240" w:lineRule="auto"/>
        <w:rPr>
          <w:rFonts w:ascii="Arial" w:eastAsia="Times New Roman" w:hAnsi="Arial" w:cs="Arial"/>
          <w:kern w:val="16"/>
          <w:sz w:val="20"/>
          <w:szCs w:val="20"/>
        </w:rPr>
      </w:pPr>
      <w:proofErr w:type="gramStart"/>
      <w:r w:rsidRPr="002827B2">
        <w:rPr>
          <w:rFonts w:ascii="Arial" w:eastAsia="Times New Roman" w:hAnsi="Arial" w:cs="Arial"/>
          <w:kern w:val="16"/>
          <w:sz w:val="20"/>
          <w:szCs w:val="20"/>
        </w:rPr>
        <w:t>Sayı : 27608</w:t>
      </w:r>
      <w:proofErr w:type="gramEnd"/>
    </w:p>
    <w:p w:rsidR="002827B2" w:rsidRPr="002827B2" w:rsidRDefault="002827B2" w:rsidP="002827B2">
      <w:pPr>
        <w:spacing w:before="100" w:beforeAutospacing="1" w:after="100" w:afterAutospacing="1"/>
        <w:rPr>
          <w:kern w:val="16"/>
        </w:rPr>
      </w:pPr>
      <w:r w:rsidRPr="002827B2">
        <w:rPr>
          <w:rFonts w:ascii="Arial" w:eastAsia="Times New Roman" w:hAnsi="Arial" w:cs="Arial"/>
          <w:b/>
          <w:color w:val="000080"/>
          <w:kern w:val="16"/>
          <w:sz w:val="20"/>
          <w:szCs w:val="20"/>
          <w:lang w:eastAsia="tr-TR"/>
        </w:rPr>
        <w:t>YÖNETMELİK</w:t>
      </w:r>
    </w:p>
    <w:tbl>
      <w:tblPr>
        <w:tblW w:w="8789" w:type="dxa"/>
        <w:jc w:val="center"/>
        <w:tblLook w:val="01E0"/>
      </w:tblPr>
      <w:tblGrid>
        <w:gridCol w:w="8789"/>
      </w:tblGrid>
      <w:tr w:rsidR="00432893" w:rsidRPr="00432893">
        <w:trPr>
          <w:trHeight w:val="480"/>
          <w:jc w:val="center"/>
        </w:trPr>
        <w:tc>
          <w:tcPr>
            <w:tcW w:w="8789" w:type="dxa"/>
            <w:vAlign w:val="center"/>
            <w:hideMark/>
          </w:tcPr>
          <w:p w:rsidR="00432893" w:rsidRPr="00432893" w:rsidRDefault="00432893" w:rsidP="002827B2">
            <w:pPr>
              <w:tabs>
                <w:tab w:val="left" w:pos="708"/>
              </w:tabs>
              <w:spacing w:after="56" w:line="240" w:lineRule="exact"/>
              <w:rPr>
                <w:rFonts w:ascii="Arial" w:eastAsia="Times New Roman" w:hAnsi="Arial" w:cs="Arial"/>
                <w:sz w:val="20"/>
                <w:szCs w:val="20"/>
                <w:u w:val="single"/>
              </w:rPr>
            </w:pPr>
            <w:r w:rsidRPr="00432893">
              <w:rPr>
                <w:rFonts w:ascii="Arial" w:eastAsia="Times New Roman" w:hAnsi="Arial" w:cs="Arial"/>
                <w:sz w:val="20"/>
                <w:szCs w:val="20"/>
                <w:u w:val="single"/>
              </w:rPr>
              <w:t>Sermaye Piyasası Kurulundan:</w:t>
            </w:r>
          </w:p>
          <w:p w:rsidR="00432893" w:rsidRPr="00432893" w:rsidRDefault="00432893" w:rsidP="00432893">
            <w:pPr>
              <w:spacing w:after="0" w:line="240" w:lineRule="exact"/>
              <w:jc w:val="center"/>
              <w:rPr>
                <w:rFonts w:ascii="Arial" w:eastAsia="Times New Roman" w:hAnsi="Arial" w:cs="Arial"/>
                <w:b/>
                <w:sz w:val="20"/>
                <w:szCs w:val="20"/>
              </w:rPr>
            </w:pPr>
            <w:r w:rsidRPr="00432893">
              <w:rPr>
                <w:rFonts w:ascii="Arial" w:eastAsia="Times New Roman" w:hAnsi="Arial" w:cs="Arial"/>
                <w:b/>
                <w:sz w:val="20"/>
                <w:szCs w:val="20"/>
              </w:rPr>
              <w:t>EMEKLİLİK YATIRIM FONLARININ KURULUŞ VE FAALİYETLERİNE</w:t>
            </w:r>
          </w:p>
          <w:p w:rsidR="00432893" w:rsidRPr="00432893" w:rsidRDefault="00432893" w:rsidP="00432893">
            <w:pPr>
              <w:spacing w:after="0" w:line="240" w:lineRule="exact"/>
              <w:jc w:val="center"/>
              <w:rPr>
                <w:rFonts w:ascii="Arial" w:eastAsia="Times New Roman" w:hAnsi="Arial" w:cs="Arial"/>
                <w:b/>
                <w:sz w:val="20"/>
                <w:szCs w:val="20"/>
              </w:rPr>
            </w:pPr>
            <w:r w:rsidRPr="00432893">
              <w:rPr>
                <w:rFonts w:ascii="Arial" w:eastAsia="Times New Roman" w:hAnsi="Arial" w:cs="Arial"/>
                <w:b/>
                <w:sz w:val="20"/>
                <w:szCs w:val="20"/>
              </w:rPr>
              <w:t>İLİŞKİN ESASLAR HAKKINDA YÖNETMELİKTE DEĞİŞİKLİK</w:t>
            </w:r>
          </w:p>
          <w:p w:rsidR="00432893" w:rsidRPr="00432893" w:rsidRDefault="00432893" w:rsidP="00432893">
            <w:pPr>
              <w:spacing w:after="113" w:line="240" w:lineRule="exact"/>
              <w:jc w:val="center"/>
              <w:rPr>
                <w:rFonts w:ascii="Arial" w:eastAsia="Times New Roman" w:hAnsi="Arial" w:cs="Arial"/>
                <w:b/>
                <w:sz w:val="20"/>
                <w:szCs w:val="20"/>
              </w:rPr>
            </w:pPr>
            <w:r w:rsidRPr="00432893">
              <w:rPr>
                <w:rFonts w:ascii="Arial" w:eastAsia="Times New Roman" w:hAnsi="Arial" w:cs="Arial"/>
                <w:b/>
                <w:sz w:val="20"/>
                <w:szCs w:val="20"/>
              </w:rPr>
              <w:t>YAPILMASINA DAİR YÖNETMELİK</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r>
            <w:r w:rsidRPr="00432893">
              <w:rPr>
                <w:rFonts w:ascii="Arial" w:eastAsia="Times New Roman" w:hAnsi="Arial" w:cs="Arial"/>
                <w:b/>
                <w:sz w:val="20"/>
                <w:szCs w:val="20"/>
              </w:rPr>
              <w:t>MADDE 1 –</w:t>
            </w:r>
            <w:r w:rsidRPr="00432893">
              <w:rPr>
                <w:rFonts w:ascii="Arial" w:eastAsia="Times New Roman" w:hAnsi="Arial" w:cs="Arial"/>
                <w:sz w:val="20"/>
                <w:szCs w:val="20"/>
              </w:rPr>
              <w:t xml:space="preserve"> </w:t>
            </w:r>
            <w:proofErr w:type="gramStart"/>
            <w:r w:rsidRPr="00432893">
              <w:rPr>
                <w:rFonts w:ascii="Arial" w:eastAsia="Times New Roman" w:hAnsi="Arial" w:cs="Arial"/>
                <w:sz w:val="20"/>
                <w:szCs w:val="20"/>
              </w:rPr>
              <w:t>28/2/2002</w:t>
            </w:r>
            <w:proofErr w:type="gramEnd"/>
            <w:r w:rsidRPr="00432893">
              <w:rPr>
                <w:rFonts w:ascii="Arial" w:eastAsia="Times New Roman" w:hAnsi="Arial" w:cs="Arial"/>
                <w:sz w:val="20"/>
                <w:szCs w:val="20"/>
              </w:rPr>
              <w:t xml:space="preserve"> tarihli ve 24681 sayılı Resmî Gazete’de yayımlanan Emeklilik Yatırım Fonlarının Kuruluş ve Faaliyetlerine İlişkin Esaslar Hakkında Yönetmeliğin 4 üncü maddesi aşağıdaki şekilde değiştirilmiştir. </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r>
            <w:r w:rsidRPr="00432893">
              <w:rPr>
                <w:rFonts w:ascii="Arial" w:eastAsia="Times New Roman" w:hAnsi="Arial" w:cs="Arial"/>
                <w:b/>
                <w:caps/>
                <w:sz w:val="20"/>
                <w:szCs w:val="20"/>
              </w:rPr>
              <w:t>“Madde 4 –</w:t>
            </w:r>
            <w:r w:rsidRPr="00432893">
              <w:rPr>
                <w:rFonts w:ascii="Arial" w:eastAsia="Times New Roman" w:hAnsi="Arial" w:cs="Arial"/>
                <w:sz w:val="20"/>
                <w:szCs w:val="20"/>
              </w:rPr>
              <w:t xml:space="preserve"> Bu Yönetmelikte geçen;</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a) Banka: Mevduat bankalarını ve katılım bankalarını, </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b) Borsa: Para ve sermaye piyasası araçlarının işlem gördüğü yurt içi ve yurt dışı borsalar ile borsa dışı teşkilatlanmış diğer piyasaları,</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c) Fon: Emeklilik yatırım fonunu,</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ç) İMKB: İstanbul Menkul Kıymetler Borsasını,</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d) Kanun: </w:t>
            </w:r>
            <w:proofErr w:type="gramStart"/>
            <w:r w:rsidRPr="00432893">
              <w:rPr>
                <w:rFonts w:ascii="Arial" w:eastAsia="Times New Roman" w:hAnsi="Arial" w:cs="Arial"/>
                <w:sz w:val="20"/>
                <w:szCs w:val="20"/>
              </w:rPr>
              <w:t>28/3/2001</w:t>
            </w:r>
            <w:proofErr w:type="gramEnd"/>
            <w:r w:rsidRPr="00432893">
              <w:rPr>
                <w:rFonts w:ascii="Arial" w:eastAsia="Times New Roman" w:hAnsi="Arial" w:cs="Arial"/>
                <w:sz w:val="20"/>
                <w:szCs w:val="20"/>
              </w:rPr>
              <w:t xml:space="preserve"> tarihli ve 4632 sayılı Bireysel Emeklilik Tasarruf ve Yatırım Sistemi Kanununu,</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e) Katılımcı: Emeklilik sözleşmesine göre ad ve hesabına şirket nezdinde bireysel emeklilik hesabı açılan fiil ehliyetine sahip gerçek kişiyi, </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f) Kurul: Sermaye Piyasası Kurulunu,</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g) Müsteşarlık: Hazine Müsteşarlığını,</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ğ) Net Varlık Değeri: Portföy değerine, fon alacaklarının eklenmesi ve fon borçlarının düşülmesi suretiyle bulunan toplam değeri,</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h) Portföy: Fonda yer alan nakit ile para ve sermaye piyasası araçlarından oluşan varlıkların tümünü,</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ı) Portföy Değeri: Fon </w:t>
            </w:r>
            <w:proofErr w:type="gramStart"/>
            <w:r w:rsidRPr="00432893">
              <w:rPr>
                <w:rFonts w:ascii="Arial" w:eastAsia="Times New Roman" w:hAnsi="Arial" w:cs="Arial"/>
                <w:sz w:val="20"/>
                <w:szCs w:val="20"/>
              </w:rPr>
              <w:t>portföyündeki</w:t>
            </w:r>
            <w:proofErr w:type="gramEnd"/>
            <w:r w:rsidRPr="00432893">
              <w:rPr>
                <w:rFonts w:ascii="Arial" w:eastAsia="Times New Roman" w:hAnsi="Arial" w:cs="Arial"/>
                <w:sz w:val="20"/>
                <w:szCs w:val="20"/>
              </w:rPr>
              <w:t xml:space="preserve"> varlıkların bu Yönetmelikteki esaslar çerçevesinde değerlenmesi neticesinde bulunan değeri,</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i) Portföy Yöneticisi: Kuruldan </w:t>
            </w:r>
            <w:proofErr w:type="gramStart"/>
            <w:r w:rsidRPr="00432893">
              <w:rPr>
                <w:rFonts w:ascii="Arial" w:eastAsia="Times New Roman" w:hAnsi="Arial" w:cs="Arial"/>
                <w:sz w:val="20"/>
                <w:szCs w:val="20"/>
              </w:rPr>
              <w:t>portföy</w:t>
            </w:r>
            <w:proofErr w:type="gramEnd"/>
            <w:r w:rsidRPr="00432893">
              <w:rPr>
                <w:rFonts w:ascii="Arial" w:eastAsia="Times New Roman" w:hAnsi="Arial" w:cs="Arial"/>
                <w:sz w:val="20"/>
                <w:szCs w:val="20"/>
              </w:rPr>
              <w:t xml:space="preserve"> yöneticiliği yetki belgesi almış ve Kurulca uygun görülen portföy yönetim şirketini,</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j) Saklayıcı: Fon </w:t>
            </w:r>
            <w:proofErr w:type="gramStart"/>
            <w:r w:rsidRPr="00432893">
              <w:rPr>
                <w:rFonts w:ascii="Arial" w:eastAsia="Times New Roman" w:hAnsi="Arial" w:cs="Arial"/>
                <w:sz w:val="20"/>
                <w:szCs w:val="20"/>
              </w:rPr>
              <w:t>portföyündeki</w:t>
            </w:r>
            <w:proofErr w:type="gramEnd"/>
            <w:r w:rsidRPr="00432893">
              <w:rPr>
                <w:rFonts w:ascii="Arial" w:eastAsia="Times New Roman" w:hAnsi="Arial" w:cs="Arial"/>
                <w:sz w:val="20"/>
                <w:szCs w:val="20"/>
              </w:rPr>
              <w:t xml:space="preserve"> varlıkların saklandığı ve Kurulca uygun görülen saklama kuruluşunu,</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k) Şirket: Kanuna göre kurulan emeklilik şirketini,</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l)  </w:t>
            </w:r>
            <w:proofErr w:type="spellStart"/>
            <w:r w:rsidRPr="00432893">
              <w:rPr>
                <w:rFonts w:ascii="Arial" w:eastAsia="Times New Roman" w:hAnsi="Arial" w:cs="Arial"/>
                <w:sz w:val="20"/>
                <w:szCs w:val="20"/>
              </w:rPr>
              <w:t>Takasbank</w:t>
            </w:r>
            <w:proofErr w:type="spellEnd"/>
            <w:r w:rsidRPr="00432893">
              <w:rPr>
                <w:rFonts w:ascii="Arial" w:eastAsia="Times New Roman" w:hAnsi="Arial" w:cs="Arial"/>
                <w:sz w:val="20"/>
                <w:szCs w:val="20"/>
              </w:rPr>
              <w:t>: İMKB Takas ve Saklama Bankası Anonim Şirketini,</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m) TTSG: Türkiye Ticaret Sicili Gazetesini</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r>
            <w:proofErr w:type="gramStart"/>
            <w:r w:rsidRPr="00432893">
              <w:rPr>
                <w:rFonts w:ascii="Arial" w:eastAsia="Times New Roman" w:hAnsi="Arial" w:cs="Arial"/>
                <w:sz w:val="20"/>
                <w:szCs w:val="20"/>
              </w:rPr>
              <w:t>ifade</w:t>
            </w:r>
            <w:proofErr w:type="gramEnd"/>
            <w:r w:rsidRPr="00432893">
              <w:rPr>
                <w:rFonts w:ascii="Arial" w:eastAsia="Times New Roman" w:hAnsi="Arial" w:cs="Arial"/>
                <w:sz w:val="20"/>
                <w:szCs w:val="20"/>
              </w:rPr>
              <w:t xml:space="preserve"> eder.”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b/>
                <w:sz w:val="20"/>
                <w:szCs w:val="20"/>
              </w:rPr>
              <w:tab/>
              <w:t xml:space="preserve">MADDE 2 – </w:t>
            </w:r>
            <w:r w:rsidRPr="00432893">
              <w:rPr>
                <w:rFonts w:ascii="Arial" w:eastAsia="Times New Roman" w:hAnsi="Arial" w:cs="Arial"/>
                <w:sz w:val="20"/>
                <w:szCs w:val="20"/>
              </w:rPr>
              <w:t>Aynı Yönetmeliğin 5 inci maddesinin üçüncü fıkrasının (e) ve (g) bentleri aşağıdaki şekilde değiştirilmiştir.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“e) Vadeli işlem ve </w:t>
            </w:r>
            <w:proofErr w:type="gramStart"/>
            <w:r w:rsidRPr="00432893">
              <w:rPr>
                <w:rFonts w:ascii="Arial" w:eastAsia="Times New Roman" w:hAnsi="Arial" w:cs="Arial"/>
                <w:sz w:val="20"/>
                <w:szCs w:val="20"/>
              </w:rPr>
              <w:t>opsiyon</w:t>
            </w:r>
            <w:proofErr w:type="gramEnd"/>
            <w:r w:rsidRPr="00432893">
              <w:rPr>
                <w:rFonts w:ascii="Arial" w:eastAsia="Times New Roman" w:hAnsi="Arial" w:cs="Arial"/>
                <w:sz w:val="20"/>
                <w:szCs w:val="20"/>
              </w:rPr>
              <w:t xml:space="preserve"> sözleşmeleri ile </w:t>
            </w:r>
            <w:proofErr w:type="spellStart"/>
            <w:r w:rsidRPr="00432893">
              <w:rPr>
                <w:rFonts w:ascii="Arial" w:eastAsia="Times New Roman" w:hAnsi="Arial" w:cs="Arial"/>
                <w:sz w:val="20"/>
                <w:szCs w:val="20"/>
              </w:rPr>
              <w:t>varantlar</w:t>
            </w:r>
            <w:proofErr w:type="spellEnd"/>
            <w:r w:rsidRPr="00432893">
              <w:rPr>
                <w:rFonts w:ascii="Arial" w:eastAsia="Times New Roman" w:hAnsi="Arial" w:cs="Arial"/>
                <w:sz w:val="20"/>
                <w:szCs w:val="20"/>
              </w:rPr>
              <w:t>,”</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“g) Yatırım fonu katılma payları,”</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b/>
                <w:sz w:val="20"/>
                <w:szCs w:val="20"/>
              </w:rPr>
              <w:tab/>
              <w:t xml:space="preserve">MADDE 3 – </w:t>
            </w:r>
            <w:r w:rsidRPr="00432893">
              <w:rPr>
                <w:rFonts w:ascii="Arial" w:eastAsia="Times New Roman" w:hAnsi="Arial" w:cs="Arial"/>
                <w:sz w:val="20"/>
                <w:szCs w:val="20"/>
              </w:rPr>
              <w:t>Aynı Yönetmeliğin 10 uncu maddesinin ikinci fıkrası aşağıdaki şekilde değiştirilmiştir.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“Katılımcıların yatırım kararını etkileyebilecek ve önceden bilgi sahibi olunmasını gerektiren hususlar ayrıca şirketin resmi internet sitesinde ve Türkiye çapında günlük yayım yapan iki gazetenin Türkiye baskısında ilan ettirilir. Yeni hususların yürürlüğe giriş tarihi on iş gününden az olmamak üzere ilanlarda belirtilir. İlanlara ilişkin gazeteler yayımını takip eden altı iş günü içerisinde Kurula gönderilir. Kurulca uygun görülmesi halinde fonun katılımcı sayısı ve katılımcı kitlesi dikkate alınarak farklı bildirim ve ilan esasları belirlenebilir.”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b/>
                <w:sz w:val="20"/>
                <w:szCs w:val="20"/>
              </w:rPr>
              <w:tab/>
              <w:t>MADDE 4 –</w:t>
            </w:r>
            <w:r w:rsidRPr="00432893">
              <w:rPr>
                <w:rFonts w:ascii="Arial" w:eastAsia="Times New Roman" w:hAnsi="Arial" w:cs="Arial"/>
                <w:sz w:val="20"/>
                <w:szCs w:val="20"/>
              </w:rPr>
              <w:t xml:space="preserve"> Aynı Yönetmeliğin 14 üncü maddesine yedinci fıkra olarak aşağıdaki fıkra eklenmiştir.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“Vadeli işlem ve </w:t>
            </w:r>
            <w:proofErr w:type="gramStart"/>
            <w:r w:rsidRPr="00432893">
              <w:rPr>
                <w:rFonts w:ascii="Arial" w:eastAsia="Times New Roman" w:hAnsi="Arial" w:cs="Arial"/>
                <w:sz w:val="20"/>
                <w:szCs w:val="20"/>
              </w:rPr>
              <w:t>opsiyon</w:t>
            </w:r>
            <w:proofErr w:type="gramEnd"/>
            <w:r w:rsidRPr="00432893">
              <w:rPr>
                <w:rFonts w:ascii="Arial" w:eastAsia="Times New Roman" w:hAnsi="Arial" w:cs="Arial"/>
                <w:sz w:val="20"/>
                <w:szCs w:val="20"/>
              </w:rPr>
              <w:t xml:space="preserve"> sözleşmelerine yatırım amaçlı taraf olacak fonların iç kontrol sistemlerinin risk yönetim sistemlerini de içerecek şekilde oluşturulması zorunludur. Risk yönetim </w:t>
            </w:r>
            <w:r w:rsidRPr="00432893">
              <w:rPr>
                <w:rFonts w:ascii="Arial" w:eastAsia="Times New Roman" w:hAnsi="Arial" w:cs="Arial"/>
                <w:sz w:val="20"/>
                <w:szCs w:val="20"/>
              </w:rPr>
              <w:lastRenderedPageBreak/>
              <w:t xml:space="preserve">sistemi, fonun karşılaşabileceği temel risklerin tanımlanmasını, risk tanımlamalarının düzenli olarak gözden geçirilmesini ve önemli gelişmelere paralel olarak güncellenmesini, maruz kalınan risklerin tutarlı bir şekilde değerlendirilmesi için riskin toplam </w:t>
            </w:r>
            <w:proofErr w:type="gramStart"/>
            <w:r w:rsidRPr="00432893">
              <w:rPr>
                <w:rFonts w:ascii="Arial" w:eastAsia="Times New Roman" w:hAnsi="Arial" w:cs="Arial"/>
                <w:sz w:val="20"/>
                <w:szCs w:val="20"/>
              </w:rPr>
              <w:t>portföy</w:t>
            </w:r>
            <w:proofErr w:type="gramEnd"/>
            <w:r w:rsidRPr="00432893">
              <w:rPr>
                <w:rFonts w:ascii="Arial" w:eastAsia="Times New Roman" w:hAnsi="Arial" w:cs="Arial"/>
                <w:sz w:val="20"/>
                <w:szCs w:val="20"/>
              </w:rPr>
              <w:t xml:space="preserve"> ve spesifik enstrümanlar bazındaki değişik boyutları arasında kıyas imkanı yaratacak bir risk ölçüm mekanizmasının geliştirilmesini içermelidir. Risk yönetimini gerçekleştirecek birim şirket bünyesinde oluşturulabileceği gibi risk yönetim hizmeti dışarıdan da sağlanabilir.”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b/>
                <w:sz w:val="20"/>
                <w:szCs w:val="20"/>
              </w:rPr>
              <w:tab/>
              <w:t>MADDE 5 –</w:t>
            </w:r>
            <w:r w:rsidRPr="00432893">
              <w:rPr>
                <w:rFonts w:ascii="Arial" w:eastAsia="Times New Roman" w:hAnsi="Arial" w:cs="Arial"/>
                <w:sz w:val="20"/>
                <w:szCs w:val="20"/>
              </w:rPr>
              <w:t xml:space="preserve"> Aynı Yönetmeliğin 15 inci maddesinin dokuzuncu fıkrası aşağıdaki şekilde değiştirilmiştir.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“Katılımcıların yatırım kararını etkileyebilecek ve önceden bilgi sahibi olunmasını gerektiren hususlar ayrıca şirketin resmi internet sitesinde ve Türkiye çapında günlük yayım yapan iki gazetenin Türkiye baskısında ilan ettirilir. İlanlara ilişkin gazeteler yayımını takip eden altı iş günü içerisinde Kurula gönderilir. Kurulca uygun görülmesi halinde fonun katılımcı sayısı ve katılımcı kitlesi dikkate alınarak farklı bildirim ve ilan esasları belirlenebilir.”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b/>
                <w:sz w:val="20"/>
                <w:szCs w:val="20"/>
              </w:rPr>
              <w:tab/>
              <w:t xml:space="preserve">MADDE 6 – </w:t>
            </w:r>
            <w:r w:rsidRPr="00432893">
              <w:rPr>
                <w:rFonts w:ascii="Arial" w:eastAsia="Times New Roman" w:hAnsi="Arial" w:cs="Arial"/>
                <w:sz w:val="20"/>
                <w:szCs w:val="20"/>
              </w:rPr>
              <w:t>Aynı Yönetmeliğin 21 inci maddesinin birinci fıkrasının (d), (f), (g), (i) ve (j) bentleri aşağıdaki şekilde değiştirilmiştir.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“d) Fon </w:t>
            </w:r>
            <w:proofErr w:type="gramStart"/>
            <w:r w:rsidRPr="00432893">
              <w:rPr>
                <w:rFonts w:ascii="Arial" w:eastAsia="Times New Roman" w:hAnsi="Arial" w:cs="Arial"/>
                <w:sz w:val="20"/>
                <w:szCs w:val="20"/>
              </w:rPr>
              <w:t>portföyünün</w:t>
            </w:r>
            <w:proofErr w:type="gramEnd"/>
            <w:r w:rsidRPr="00432893">
              <w:rPr>
                <w:rFonts w:ascii="Arial" w:eastAsia="Times New Roman" w:hAnsi="Arial" w:cs="Arial"/>
                <w:sz w:val="20"/>
                <w:szCs w:val="20"/>
              </w:rPr>
              <w:t xml:space="preserve"> en fazla %20’si girişim sermayesi yatırım ortaklıkları tarafından ihraç edilen para ve sermaye piyasası araçlarına ve girişim sermayesi yatırım fonlarının katılma paylarına yatırılabilir. Girişim sermayesi yatırım ortaklıklarına yapılacak yatırımlarda bu maddenin (c) bendindeki sınırlamalar dikkate alınmaz. Tek bir girişim sermayesi yatırım fonuna yapılan yatırım tutarı, fon </w:t>
            </w:r>
            <w:proofErr w:type="gramStart"/>
            <w:r w:rsidRPr="00432893">
              <w:rPr>
                <w:rFonts w:ascii="Arial" w:eastAsia="Times New Roman" w:hAnsi="Arial" w:cs="Arial"/>
                <w:sz w:val="20"/>
                <w:szCs w:val="20"/>
              </w:rPr>
              <w:t>portföyünün</w:t>
            </w:r>
            <w:proofErr w:type="gramEnd"/>
            <w:r w:rsidRPr="00432893">
              <w:rPr>
                <w:rFonts w:ascii="Arial" w:eastAsia="Times New Roman" w:hAnsi="Arial" w:cs="Arial"/>
                <w:sz w:val="20"/>
                <w:szCs w:val="20"/>
              </w:rPr>
              <w:t xml:space="preserve"> %5'ini geçemez.”</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“f)  Şirketin ve </w:t>
            </w:r>
            <w:proofErr w:type="gramStart"/>
            <w:r w:rsidRPr="00432893">
              <w:rPr>
                <w:rFonts w:ascii="Arial" w:eastAsia="Times New Roman" w:hAnsi="Arial" w:cs="Arial"/>
                <w:sz w:val="20"/>
                <w:szCs w:val="20"/>
              </w:rPr>
              <w:t>portföy</w:t>
            </w:r>
            <w:proofErr w:type="gramEnd"/>
            <w:r w:rsidRPr="00432893">
              <w:rPr>
                <w:rFonts w:ascii="Arial" w:eastAsia="Times New Roman" w:hAnsi="Arial" w:cs="Arial"/>
                <w:sz w:val="20"/>
                <w:szCs w:val="20"/>
              </w:rPr>
              <w:t xml:space="preserve"> yöneticisinin;</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1) Sermayesinin %10'undan fazlasına sahip olan hissedarlarının,</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2) </w:t>
            </w:r>
            <w:proofErr w:type="gramStart"/>
            <w:r w:rsidRPr="00432893">
              <w:rPr>
                <w:rFonts w:ascii="Arial" w:eastAsia="Times New Roman" w:hAnsi="Arial" w:cs="Arial"/>
                <w:sz w:val="20"/>
                <w:szCs w:val="20"/>
              </w:rPr>
              <w:t>Yönetim kurulu</w:t>
            </w:r>
            <w:proofErr w:type="gramEnd"/>
            <w:r w:rsidRPr="00432893">
              <w:rPr>
                <w:rFonts w:ascii="Arial" w:eastAsia="Times New Roman" w:hAnsi="Arial" w:cs="Arial"/>
                <w:sz w:val="20"/>
                <w:szCs w:val="20"/>
              </w:rPr>
              <w:t xml:space="preserve"> başkan ve üyelerinin,</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3) Genel müdür ve genel müdür yardımcılarının,</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ayrı </w:t>
            </w:r>
            <w:proofErr w:type="spellStart"/>
            <w:r w:rsidRPr="00432893">
              <w:rPr>
                <w:rFonts w:ascii="Arial" w:eastAsia="Times New Roman" w:hAnsi="Arial" w:cs="Arial"/>
                <w:sz w:val="20"/>
                <w:szCs w:val="20"/>
              </w:rPr>
              <w:t>ayrı</w:t>
            </w:r>
            <w:proofErr w:type="spellEnd"/>
            <w:r w:rsidRPr="00432893">
              <w:rPr>
                <w:rFonts w:ascii="Arial" w:eastAsia="Times New Roman" w:hAnsi="Arial" w:cs="Arial"/>
                <w:sz w:val="20"/>
                <w:szCs w:val="20"/>
              </w:rPr>
              <w:t xml:space="preserve"> ya da birlikte sermayesinin %20'sinden fazlasına sahip oldukları ortaklıklar ile şirketin ve </w:t>
            </w:r>
            <w:proofErr w:type="gramStart"/>
            <w:r w:rsidRPr="00432893">
              <w:rPr>
                <w:rFonts w:ascii="Arial" w:eastAsia="Times New Roman" w:hAnsi="Arial" w:cs="Arial"/>
                <w:sz w:val="20"/>
                <w:szCs w:val="20"/>
              </w:rPr>
              <w:t>portföy</w:t>
            </w:r>
            <w:proofErr w:type="gramEnd"/>
            <w:r w:rsidRPr="00432893">
              <w:rPr>
                <w:rFonts w:ascii="Arial" w:eastAsia="Times New Roman" w:hAnsi="Arial" w:cs="Arial"/>
                <w:sz w:val="20"/>
                <w:szCs w:val="20"/>
              </w:rPr>
              <w:t xml:space="preserve"> yöneticisinin doğrudan ve dolaylı iştiraklerince çıkarılmış para ve sermaye piyasası araçlarının toplamı, fon portföyünün %30'unu aşamaz.”</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“g) Fon varlıklarının en fazla %30’u bir topluluğun para ve sermaye piyasası araçlarına yatırılabilir. Topluluk, hukuksal yönden birbirinden bağımsız olmakla birlikte sermaye, yönetim ve denetim açısından birbirleriyle ilişkili, faaliyet konuları yönünden aynı sektöre bağlı olsun veya olmasın, organizasyon ve finansman konularının bir ana ortaklık çatısı altında tek merkezden koordine edildiği ana ve bağlı ortaklıklar bütününü ifade eder.”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“i) Fon </w:t>
            </w:r>
            <w:proofErr w:type="gramStart"/>
            <w:r w:rsidRPr="00432893">
              <w:rPr>
                <w:rFonts w:ascii="Arial" w:eastAsia="Times New Roman" w:hAnsi="Arial" w:cs="Arial"/>
                <w:sz w:val="20"/>
                <w:szCs w:val="20"/>
              </w:rPr>
              <w:t>portföyünün</w:t>
            </w:r>
            <w:proofErr w:type="gramEnd"/>
            <w:r w:rsidRPr="00432893">
              <w:rPr>
                <w:rFonts w:ascii="Arial" w:eastAsia="Times New Roman" w:hAnsi="Arial" w:cs="Arial"/>
                <w:sz w:val="20"/>
                <w:szCs w:val="20"/>
              </w:rPr>
              <w:t xml:space="preserve"> en fazla %20’si Kurul kaydından bulunan menkul kıymet yatırım fonu, yabancı yatırım fonu, borsa yatırım fonu, serbest yatırım fonu, koruma amaçlı yatırım fonu ve garantili yatırım fonu katılma paylarına yatırılmak suretiyle değerlendirilir. Ancak tek bir yatırım fonuna yapılan yatırım tutarı, fon </w:t>
            </w:r>
            <w:proofErr w:type="gramStart"/>
            <w:r w:rsidRPr="00432893">
              <w:rPr>
                <w:rFonts w:ascii="Arial" w:eastAsia="Times New Roman" w:hAnsi="Arial" w:cs="Arial"/>
                <w:sz w:val="20"/>
                <w:szCs w:val="20"/>
              </w:rPr>
              <w:t>portföyünün</w:t>
            </w:r>
            <w:proofErr w:type="gramEnd"/>
            <w:r w:rsidRPr="00432893">
              <w:rPr>
                <w:rFonts w:ascii="Arial" w:eastAsia="Times New Roman" w:hAnsi="Arial" w:cs="Arial"/>
                <w:sz w:val="20"/>
                <w:szCs w:val="20"/>
              </w:rPr>
              <w:t xml:space="preserve"> %4'ünü geçemez.</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Katılma payları fon portföyüne </w:t>
            </w:r>
            <w:proofErr w:type="gramStart"/>
            <w:r w:rsidRPr="00432893">
              <w:rPr>
                <w:rFonts w:ascii="Arial" w:eastAsia="Times New Roman" w:hAnsi="Arial" w:cs="Arial"/>
                <w:sz w:val="20"/>
                <w:szCs w:val="20"/>
              </w:rPr>
              <w:t>dahil</w:t>
            </w:r>
            <w:proofErr w:type="gramEnd"/>
            <w:r w:rsidRPr="00432893">
              <w:rPr>
                <w:rFonts w:ascii="Arial" w:eastAsia="Times New Roman" w:hAnsi="Arial" w:cs="Arial"/>
                <w:sz w:val="20"/>
                <w:szCs w:val="20"/>
              </w:rPr>
              <w:t xml:space="preserve"> edilen yatırım fonlarına giriş, çıkış veya erken çıkış komisyonu ödenemez.”</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“j) Fon </w:t>
            </w:r>
            <w:proofErr w:type="gramStart"/>
            <w:r w:rsidRPr="00432893">
              <w:rPr>
                <w:rFonts w:ascii="Arial" w:eastAsia="Times New Roman" w:hAnsi="Arial" w:cs="Arial"/>
                <w:sz w:val="20"/>
                <w:szCs w:val="20"/>
              </w:rPr>
              <w:t>portföyünün</w:t>
            </w:r>
            <w:proofErr w:type="gramEnd"/>
            <w:r w:rsidRPr="00432893">
              <w:rPr>
                <w:rFonts w:ascii="Arial" w:eastAsia="Times New Roman" w:hAnsi="Arial" w:cs="Arial"/>
                <w:sz w:val="20"/>
                <w:szCs w:val="20"/>
              </w:rPr>
              <w:t xml:space="preserve"> en fazla %20’si bankalar nezdinde açtırılacak mevduat/katılma hesaplarında değerlendirilebilir. Ancak tek bir bankada değerlendirilebilecek tutar fon </w:t>
            </w:r>
            <w:proofErr w:type="gramStart"/>
            <w:r w:rsidRPr="00432893">
              <w:rPr>
                <w:rFonts w:ascii="Arial" w:eastAsia="Times New Roman" w:hAnsi="Arial" w:cs="Arial"/>
                <w:sz w:val="20"/>
                <w:szCs w:val="20"/>
              </w:rPr>
              <w:t>portföyünün</w:t>
            </w:r>
            <w:proofErr w:type="gramEnd"/>
            <w:r w:rsidRPr="00432893">
              <w:rPr>
                <w:rFonts w:ascii="Arial" w:eastAsia="Times New Roman" w:hAnsi="Arial" w:cs="Arial"/>
                <w:sz w:val="20"/>
                <w:szCs w:val="20"/>
              </w:rPr>
              <w:t xml:space="preserve"> %4’ünü aşamaz.”</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b/>
                <w:sz w:val="20"/>
                <w:szCs w:val="20"/>
              </w:rPr>
              <w:tab/>
              <w:t xml:space="preserve">MADDE 7 – </w:t>
            </w:r>
            <w:r w:rsidRPr="00432893">
              <w:rPr>
                <w:rFonts w:ascii="Arial" w:eastAsia="Times New Roman" w:hAnsi="Arial" w:cs="Arial"/>
                <w:sz w:val="20"/>
                <w:szCs w:val="20"/>
              </w:rPr>
              <w:t>Aynı Yönetmeliğe 21 inci maddesinden sonra gelmek üzere aşağıdaki madde eklenmiştir.</w:t>
            </w:r>
          </w:p>
          <w:p w:rsidR="00432893" w:rsidRPr="00432893" w:rsidRDefault="00432893" w:rsidP="00432893">
            <w:pPr>
              <w:tabs>
                <w:tab w:val="left" w:pos="566"/>
              </w:tabs>
              <w:spacing w:after="0" w:line="240" w:lineRule="exact"/>
              <w:jc w:val="both"/>
              <w:rPr>
                <w:rFonts w:ascii="Arial" w:eastAsia="Times New Roman" w:hAnsi="Arial" w:cs="Arial"/>
                <w:b/>
                <w:sz w:val="20"/>
                <w:szCs w:val="20"/>
              </w:rPr>
            </w:pPr>
            <w:r w:rsidRPr="00432893">
              <w:rPr>
                <w:rFonts w:ascii="Arial" w:eastAsia="Times New Roman" w:hAnsi="Arial" w:cs="Arial"/>
                <w:sz w:val="20"/>
                <w:szCs w:val="20"/>
              </w:rPr>
              <w:tab/>
            </w:r>
            <w:r w:rsidRPr="00432893">
              <w:rPr>
                <w:rFonts w:ascii="Arial" w:eastAsia="Times New Roman" w:hAnsi="Arial" w:cs="Arial"/>
                <w:b/>
                <w:sz w:val="20"/>
                <w:szCs w:val="20"/>
              </w:rPr>
              <w:t xml:space="preserve">“Portföye </w:t>
            </w:r>
            <w:proofErr w:type="gramStart"/>
            <w:r w:rsidRPr="00432893">
              <w:rPr>
                <w:rFonts w:ascii="Arial" w:eastAsia="Times New Roman" w:hAnsi="Arial" w:cs="Arial"/>
                <w:b/>
                <w:sz w:val="20"/>
                <w:szCs w:val="20"/>
              </w:rPr>
              <w:t>Dahil</w:t>
            </w:r>
            <w:proofErr w:type="gramEnd"/>
            <w:r w:rsidRPr="00432893">
              <w:rPr>
                <w:rFonts w:ascii="Arial" w:eastAsia="Times New Roman" w:hAnsi="Arial" w:cs="Arial"/>
                <w:b/>
                <w:sz w:val="20"/>
                <w:szCs w:val="20"/>
              </w:rPr>
              <w:t xml:space="preserve"> Edilecek Varlıklara İlişkin İstisnalar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b/>
                <w:caps/>
                <w:sz w:val="20"/>
                <w:szCs w:val="20"/>
              </w:rPr>
              <w:tab/>
              <w:t>Madde 21/A –</w:t>
            </w:r>
            <w:r w:rsidRPr="00432893">
              <w:rPr>
                <w:rFonts w:ascii="Arial" w:eastAsia="Times New Roman" w:hAnsi="Arial" w:cs="Arial"/>
                <w:sz w:val="20"/>
                <w:szCs w:val="20"/>
              </w:rPr>
              <w:t xml:space="preserve"> Bu madde kapsamındaki varlıklar aşağıdaki esaslar çerçevesinde fon portföyüne </w:t>
            </w:r>
            <w:proofErr w:type="gramStart"/>
            <w:r w:rsidRPr="00432893">
              <w:rPr>
                <w:rFonts w:ascii="Arial" w:eastAsia="Times New Roman" w:hAnsi="Arial" w:cs="Arial"/>
                <w:sz w:val="20"/>
                <w:szCs w:val="20"/>
              </w:rPr>
              <w:t>dahil</w:t>
            </w:r>
            <w:proofErr w:type="gramEnd"/>
            <w:r w:rsidRPr="00432893">
              <w:rPr>
                <w:rFonts w:ascii="Arial" w:eastAsia="Times New Roman" w:hAnsi="Arial" w:cs="Arial"/>
                <w:sz w:val="20"/>
                <w:szCs w:val="20"/>
              </w:rPr>
              <w:t xml:space="preserve"> edilebilir. Bu Yönetmeliğin, bu madde hükmüne aykırılık teşkil eden hükümleri uygulanmaz.</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a) Fon portföyüne, Kurulun Seri: V, No: 7 sayılı Menkul Kıymetlerin Geri Alma veya Satma Taahhüdü ile Alım Satımı Hakkında Tebliğinin 5 inci maddesinin (c) ve (e) bentlerinde belirtilen kıymetlerin konu edildiği borsada veya borsa dışında taraf olunan ters repo sözleşmelerinin </w:t>
            </w:r>
            <w:proofErr w:type="gramStart"/>
            <w:r w:rsidRPr="00432893">
              <w:rPr>
                <w:rFonts w:ascii="Arial" w:eastAsia="Times New Roman" w:hAnsi="Arial" w:cs="Arial"/>
                <w:sz w:val="20"/>
                <w:szCs w:val="20"/>
              </w:rPr>
              <w:t>dahil</w:t>
            </w:r>
            <w:proofErr w:type="gramEnd"/>
            <w:r w:rsidRPr="00432893">
              <w:rPr>
                <w:rFonts w:ascii="Arial" w:eastAsia="Times New Roman" w:hAnsi="Arial" w:cs="Arial"/>
                <w:sz w:val="20"/>
                <w:szCs w:val="20"/>
              </w:rPr>
              <w:t xml:space="preserve"> edilmesi mümkündür. Borsa dışında taraf olunan ters repo sözleşmelerinin karşı tarafının Kurulca belirlenen nitelikleri taşıması zorunludur. Borsa dışında taraf olunan ters repo sözleşmeleri çerçevesinde karşı taraftan alınan ters repoya konu varlıkların </w:t>
            </w:r>
            <w:proofErr w:type="spellStart"/>
            <w:r w:rsidRPr="00432893">
              <w:rPr>
                <w:rFonts w:ascii="Arial" w:eastAsia="Times New Roman" w:hAnsi="Arial" w:cs="Arial"/>
                <w:sz w:val="20"/>
                <w:szCs w:val="20"/>
              </w:rPr>
              <w:t>Takasbank’da</w:t>
            </w:r>
            <w:proofErr w:type="spellEnd"/>
            <w:r w:rsidRPr="00432893">
              <w:rPr>
                <w:rFonts w:ascii="Arial" w:eastAsia="Times New Roman" w:hAnsi="Arial" w:cs="Arial"/>
                <w:sz w:val="20"/>
                <w:szCs w:val="20"/>
              </w:rPr>
              <w:t xml:space="preserve"> fon adına açılmış olan bir hesapta saklanması gerekmektedir.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Borsa dışında taraf olunan ters repo işlemlerine fon </w:t>
            </w:r>
            <w:proofErr w:type="gramStart"/>
            <w:r w:rsidRPr="00432893">
              <w:rPr>
                <w:rFonts w:ascii="Arial" w:eastAsia="Times New Roman" w:hAnsi="Arial" w:cs="Arial"/>
                <w:sz w:val="20"/>
                <w:szCs w:val="20"/>
              </w:rPr>
              <w:t>portföyünün</w:t>
            </w:r>
            <w:proofErr w:type="gramEnd"/>
            <w:r w:rsidRPr="00432893">
              <w:rPr>
                <w:rFonts w:ascii="Arial" w:eastAsia="Times New Roman" w:hAnsi="Arial" w:cs="Arial"/>
                <w:sz w:val="20"/>
                <w:szCs w:val="20"/>
              </w:rPr>
              <w:t xml:space="preserve"> en fazla %10’una kadar yatırım yapılabilir.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Fon, bu Yönetmeliğin 23 üncü maddesinde belirtilen esaslar çerçevesinde, Kurulun Seri: V, No:7 sayılı Menkul Kıymetlerin Geri Alma veya Satma Taahhüdü ile Alım Satımı Hakkında </w:t>
            </w:r>
            <w:r w:rsidRPr="00432893">
              <w:rPr>
                <w:rFonts w:ascii="Arial" w:eastAsia="Times New Roman" w:hAnsi="Arial" w:cs="Arial"/>
                <w:sz w:val="20"/>
                <w:szCs w:val="20"/>
              </w:rPr>
              <w:lastRenderedPageBreak/>
              <w:t xml:space="preserve">Tebliğinin 5 inci maddesinin (c) ve (e) bentlerinde belirtilen kıymetlerin konu edildiği borsada veya borsa dışında repo sözleşmelerine taraf olabilir. </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Borsa dışı repo-ters repo işlemlerinin vade ve faiz oranı Kurulun Seri: V, No: 7 sayılı Menkul Kıymetlerin Geri Alma veya Satma Taahhüdü ile Alım Satımı Hakkında Tebliğinin 6 </w:t>
            </w:r>
            <w:proofErr w:type="spellStart"/>
            <w:r w:rsidRPr="00432893">
              <w:rPr>
                <w:rFonts w:ascii="Arial" w:eastAsia="Times New Roman" w:hAnsi="Arial" w:cs="Arial"/>
                <w:sz w:val="20"/>
                <w:szCs w:val="20"/>
              </w:rPr>
              <w:t>ncı</w:t>
            </w:r>
            <w:proofErr w:type="spellEnd"/>
            <w:r w:rsidRPr="00432893">
              <w:rPr>
                <w:rFonts w:ascii="Arial" w:eastAsia="Times New Roman" w:hAnsi="Arial" w:cs="Arial"/>
                <w:sz w:val="20"/>
                <w:szCs w:val="20"/>
              </w:rPr>
              <w:t xml:space="preserve"> maddesi çerçevesinde belirlenir. Şu kadar ki; faiz oranının belirlenmesi, borsada işlem gören benzer vade yapısına sahip sözleşmelerin faiz oranları dikkate alınmak üzere, fon kurulunun sorumluluğundadır. Bu itibarla borsa dışında repo-ters repo sözleşmelerine taraf olunması durumunda en geç sözleşme tarihini takip eden işgünü içinde şirketin resmi internet sitesinde sözleşmeye konu edilen kıymet ve sözleşmenin vadesi, faiz oranı, karşı tarafı hakkında kamuya bilgi verilmesi gerekmektedir. Söz konusu sözleşmelere ilişkin bilgi ve belgeler ayrıca şirket merkezinde sözleşme tarihini müteakip 5 yıl süreyle muhafaza edilir.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Borsa dışı repo-ters repo sözleşmelerinin değerlemesine ilişkin esaslar piyasa fiyatını en doğru yansıtacak şekilde fon kurulu tarafından belirlenerek yazılı karara bağlanır.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b) Borsada işlem gören dış borçlanma araçlarının, borsa dışında yapılacak işlemler ile fon portföyüne </w:t>
            </w:r>
            <w:proofErr w:type="gramStart"/>
            <w:r w:rsidRPr="00432893">
              <w:rPr>
                <w:rFonts w:ascii="Arial" w:eastAsia="Times New Roman" w:hAnsi="Arial" w:cs="Arial"/>
                <w:sz w:val="20"/>
                <w:szCs w:val="20"/>
              </w:rPr>
              <w:t>dahil</w:t>
            </w:r>
            <w:proofErr w:type="gramEnd"/>
            <w:r w:rsidRPr="00432893">
              <w:rPr>
                <w:rFonts w:ascii="Arial" w:eastAsia="Times New Roman" w:hAnsi="Arial" w:cs="Arial"/>
                <w:sz w:val="20"/>
                <w:szCs w:val="20"/>
              </w:rPr>
              <w:t xml:space="preserve"> edilmesi veya fon portföyünden çıkartılması mümkündür.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Borsada veya borsa dışında yapılan işlemler ile fon portföyüne </w:t>
            </w:r>
            <w:proofErr w:type="gramStart"/>
            <w:r w:rsidRPr="00432893">
              <w:rPr>
                <w:rFonts w:ascii="Arial" w:eastAsia="Times New Roman" w:hAnsi="Arial" w:cs="Arial"/>
                <w:sz w:val="20"/>
                <w:szCs w:val="20"/>
              </w:rPr>
              <w:t>dahil</w:t>
            </w:r>
            <w:proofErr w:type="gramEnd"/>
            <w:r w:rsidRPr="00432893">
              <w:rPr>
                <w:rFonts w:ascii="Arial" w:eastAsia="Times New Roman" w:hAnsi="Arial" w:cs="Arial"/>
                <w:sz w:val="20"/>
                <w:szCs w:val="20"/>
              </w:rPr>
              <w:t xml:space="preserve"> edilen dış borçlanma araçlarının değerlemesine ilişkin esaslar piyasa fiyatını en doğru yansıtacak şekilde fon kurulu tarafından belirlenerek yazılı karara bağlanır.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c) Borsada işlem görmeyen özel sektör borçlanma araçlarına fon </w:t>
            </w:r>
            <w:proofErr w:type="gramStart"/>
            <w:r w:rsidRPr="00432893">
              <w:rPr>
                <w:rFonts w:ascii="Arial" w:eastAsia="Times New Roman" w:hAnsi="Arial" w:cs="Arial"/>
                <w:sz w:val="20"/>
                <w:szCs w:val="20"/>
              </w:rPr>
              <w:t>portföy</w:t>
            </w:r>
            <w:proofErr w:type="gramEnd"/>
            <w:r w:rsidRPr="00432893">
              <w:rPr>
                <w:rFonts w:ascii="Arial" w:eastAsia="Times New Roman" w:hAnsi="Arial" w:cs="Arial"/>
                <w:sz w:val="20"/>
                <w:szCs w:val="20"/>
              </w:rPr>
              <w:t xml:space="preserve"> değerinin en fazla %10’u oranında yatırım yapılabilir. Borsa’da işlem görmeyen özel sektör borçlanma araçlarına yatırım yapan fonların yatırım aşamasında, </w:t>
            </w:r>
            <w:proofErr w:type="gramStart"/>
            <w:r w:rsidRPr="00432893">
              <w:rPr>
                <w:rFonts w:ascii="Arial" w:eastAsia="Times New Roman" w:hAnsi="Arial" w:cs="Arial"/>
                <w:sz w:val="20"/>
                <w:szCs w:val="20"/>
              </w:rPr>
              <w:t>portföyünde</w:t>
            </w:r>
            <w:proofErr w:type="gramEnd"/>
            <w:r w:rsidRPr="00432893">
              <w:rPr>
                <w:rFonts w:ascii="Arial" w:eastAsia="Times New Roman" w:hAnsi="Arial" w:cs="Arial"/>
                <w:sz w:val="20"/>
                <w:szCs w:val="20"/>
              </w:rPr>
              <w:t xml:space="preserve"> bulunan özel sektör borçlanma araçlarının gerektiğinde nakde dönüştürülebilmesini </w:t>
            </w:r>
            <w:proofErr w:type="spellStart"/>
            <w:r w:rsidRPr="00432893">
              <w:rPr>
                <w:rFonts w:ascii="Arial" w:eastAsia="Times New Roman" w:hAnsi="Arial" w:cs="Arial"/>
                <w:sz w:val="20"/>
                <w:szCs w:val="20"/>
              </w:rPr>
              <w:t>teminen</w:t>
            </w:r>
            <w:proofErr w:type="spellEnd"/>
            <w:r w:rsidRPr="00432893">
              <w:rPr>
                <w:rFonts w:ascii="Arial" w:eastAsia="Times New Roman" w:hAnsi="Arial" w:cs="Arial"/>
                <w:sz w:val="20"/>
                <w:szCs w:val="20"/>
              </w:rPr>
              <w:t xml:space="preserve"> şirketle veya bir aracı kuruluşla konuya ilişkin bir sözleşme imzalaması gerekmektedir.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Fon portföyüne </w:t>
            </w:r>
            <w:proofErr w:type="gramStart"/>
            <w:r w:rsidRPr="00432893">
              <w:rPr>
                <w:rFonts w:ascii="Arial" w:eastAsia="Times New Roman" w:hAnsi="Arial" w:cs="Arial"/>
                <w:sz w:val="20"/>
                <w:szCs w:val="20"/>
              </w:rPr>
              <w:t>dahil</w:t>
            </w:r>
            <w:proofErr w:type="gramEnd"/>
            <w:r w:rsidRPr="00432893">
              <w:rPr>
                <w:rFonts w:ascii="Arial" w:eastAsia="Times New Roman" w:hAnsi="Arial" w:cs="Arial"/>
                <w:sz w:val="20"/>
                <w:szCs w:val="20"/>
              </w:rPr>
              <w:t xml:space="preserve"> edilen borsada işlem görmeyen özel sektör borçlanma araçlarının değerlemesine ilişkin esaslar piyasa fiyatını en doğru yansıtacak şekilde fon kurulu tarafından belirlenerek yazılı karara bağlanır.”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b/>
                <w:sz w:val="20"/>
                <w:szCs w:val="20"/>
              </w:rPr>
              <w:tab/>
              <w:t xml:space="preserve">MADDE 8 – </w:t>
            </w:r>
            <w:r w:rsidRPr="00432893">
              <w:rPr>
                <w:rFonts w:ascii="Arial" w:eastAsia="Times New Roman" w:hAnsi="Arial" w:cs="Arial"/>
                <w:sz w:val="20"/>
                <w:szCs w:val="20"/>
              </w:rPr>
              <w:t>Aynı Yönetmeliğin 23 üncü maddesinin üçüncü fıkrası aşağıdaki şekilde değiştirilmiştir.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“Fon, Kurulun Seri: V, No: 65 sayılı Sermaye Piyasası Araçlarının Kredili Alım, Açığa Satış ve Ödünç Alma ve Verme İşlemleri Hakkında Tebliğinin 11 inci maddesi çerçevesinde yapılacak bir sözleşme çerçevesinde herhangi bir anda fon </w:t>
            </w:r>
            <w:proofErr w:type="gramStart"/>
            <w:r w:rsidRPr="00432893">
              <w:rPr>
                <w:rFonts w:ascii="Arial" w:eastAsia="Times New Roman" w:hAnsi="Arial" w:cs="Arial"/>
                <w:sz w:val="20"/>
                <w:szCs w:val="20"/>
              </w:rPr>
              <w:t>portföyünün</w:t>
            </w:r>
            <w:proofErr w:type="gramEnd"/>
            <w:r w:rsidRPr="00432893">
              <w:rPr>
                <w:rFonts w:ascii="Arial" w:eastAsia="Times New Roman" w:hAnsi="Arial" w:cs="Arial"/>
                <w:sz w:val="20"/>
                <w:szCs w:val="20"/>
              </w:rPr>
              <w:t xml:space="preserve"> en fazla %50’si tutarındaki para ve sermaye piyasası araçlarını ödünç verebilir veya fon portföyünün en fazla %10’u tutarındaki para ve sermaye piyasası araçlarını ödünç alabilir ve ödünç alma oranı ile sınırlı olmak üzere açığa satış işlemi yapabilir. Ödünç verme ve alma işlemi en fazla doksan iş günü süreyle yapılır. Fon </w:t>
            </w:r>
            <w:proofErr w:type="gramStart"/>
            <w:r w:rsidRPr="00432893">
              <w:rPr>
                <w:rFonts w:ascii="Arial" w:eastAsia="Times New Roman" w:hAnsi="Arial" w:cs="Arial"/>
                <w:sz w:val="20"/>
                <w:szCs w:val="20"/>
              </w:rPr>
              <w:t>portföyünden</w:t>
            </w:r>
            <w:proofErr w:type="gramEnd"/>
            <w:r w:rsidRPr="00432893">
              <w:rPr>
                <w:rFonts w:ascii="Arial" w:eastAsia="Times New Roman" w:hAnsi="Arial" w:cs="Arial"/>
                <w:sz w:val="20"/>
                <w:szCs w:val="20"/>
              </w:rPr>
              <w:t xml:space="preserve"> ödünç verme işlemi, ödünç verilen para ve sermaye piyasası araçlarının en az %100'ü karşılığında nakit veya devlet iç borçlanma senetlerinden oluşabilecek teminatın fon adına </w:t>
            </w:r>
            <w:proofErr w:type="spellStart"/>
            <w:r w:rsidRPr="00432893">
              <w:rPr>
                <w:rFonts w:ascii="Arial" w:eastAsia="Times New Roman" w:hAnsi="Arial" w:cs="Arial"/>
                <w:sz w:val="20"/>
                <w:szCs w:val="20"/>
              </w:rPr>
              <w:t>Takasbank’da</w:t>
            </w:r>
            <w:proofErr w:type="spellEnd"/>
            <w:r w:rsidRPr="00432893">
              <w:rPr>
                <w:rFonts w:ascii="Arial" w:eastAsia="Times New Roman" w:hAnsi="Arial" w:cs="Arial"/>
                <w:sz w:val="20"/>
                <w:szCs w:val="20"/>
              </w:rPr>
              <w:t xml:space="preserve"> bloke edilmesi şartıyla yapılabilir. Teminat tutarının ödünç verilen para ve sermaye piyasası araçlarının piyasa değerinin %80'inin altına düşmesi halinde </w:t>
            </w:r>
            <w:proofErr w:type="gramStart"/>
            <w:r w:rsidRPr="00432893">
              <w:rPr>
                <w:rFonts w:ascii="Arial" w:eastAsia="Times New Roman" w:hAnsi="Arial" w:cs="Arial"/>
                <w:sz w:val="20"/>
                <w:szCs w:val="20"/>
              </w:rPr>
              <w:t>portföy</w:t>
            </w:r>
            <w:proofErr w:type="gramEnd"/>
            <w:r w:rsidRPr="00432893">
              <w:rPr>
                <w:rFonts w:ascii="Arial" w:eastAsia="Times New Roman" w:hAnsi="Arial" w:cs="Arial"/>
                <w:sz w:val="20"/>
                <w:szCs w:val="20"/>
              </w:rPr>
              <w:t xml:space="preserve"> yöneticisi teminatın tamamlanmasını ister. Fonun taraf olduğu ödünç verme ve alma sözleşmelerine, fon lehine tek taraflı olarak sözleşmenin </w:t>
            </w:r>
            <w:proofErr w:type="spellStart"/>
            <w:r w:rsidRPr="00432893">
              <w:rPr>
                <w:rFonts w:ascii="Arial" w:eastAsia="Times New Roman" w:hAnsi="Arial" w:cs="Arial"/>
                <w:sz w:val="20"/>
                <w:szCs w:val="20"/>
              </w:rPr>
              <w:t>fesh</w:t>
            </w:r>
            <w:proofErr w:type="spellEnd"/>
            <w:r w:rsidRPr="00432893">
              <w:rPr>
                <w:rFonts w:ascii="Arial" w:eastAsia="Times New Roman" w:hAnsi="Arial" w:cs="Arial"/>
                <w:sz w:val="20"/>
                <w:szCs w:val="20"/>
              </w:rPr>
              <w:t xml:space="preserve"> edilebileceğine ilişkin bir hükmün konulması mecburidir.”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b/>
                <w:sz w:val="20"/>
                <w:szCs w:val="20"/>
              </w:rPr>
              <w:tab/>
              <w:t>MADDE 9 –</w:t>
            </w:r>
            <w:r w:rsidRPr="00432893">
              <w:rPr>
                <w:rFonts w:ascii="Arial" w:eastAsia="Times New Roman" w:hAnsi="Arial" w:cs="Arial"/>
                <w:sz w:val="20"/>
                <w:szCs w:val="20"/>
              </w:rPr>
              <w:t xml:space="preserve"> Aynı Yönetmeliğin 24 üncü maddesi aşağıdaki şekilde değiştirilmiştir.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r>
            <w:r w:rsidRPr="00432893">
              <w:rPr>
                <w:rFonts w:ascii="Arial" w:eastAsia="Times New Roman" w:hAnsi="Arial" w:cs="Arial"/>
                <w:b/>
                <w:caps/>
                <w:sz w:val="20"/>
                <w:szCs w:val="20"/>
              </w:rPr>
              <w:t>“Madde 24 –</w:t>
            </w:r>
            <w:r w:rsidRPr="00432893">
              <w:rPr>
                <w:rFonts w:ascii="Arial" w:eastAsia="Times New Roman" w:hAnsi="Arial" w:cs="Arial"/>
                <w:sz w:val="20"/>
                <w:szCs w:val="20"/>
              </w:rPr>
              <w:t xml:space="preserve"> Fon portföyüne riskten korunma ve/veya yatırım amacıyla döviz, kıymetli madenler, faiz, finansal göstergeler ve sermaye piyasası araçları üzerinden düzenlenmiş </w:t>
            </w:r>
            <w:proofErr w:type="gramStart"/>
            <w:r w:rsidRPr="00432893">
              <w:rPr>
                <w:rFonts w:ascii="Arial" w:eastAsia="Times New Roman" w:hAnsi="Arial" w:cs="Arial"/>
                <w:sz w:val="20"/>
                <w:szCs w:val="20"/>
              </w:rPr>
              <w:t>opsiyon</w:t>
            </w:r>
            <w:proofErr w:type="gramEnd"/>
            <w:r w:rsidRPr="00432893">
              <w:rPr>
                <w:rFonts w:ascii="Arial" w:eastAsia="Times New Roman" w:hAnsi="Arial" w:cs="Arial"/>
                <w:sz w:val="20"/>
                <w:szCs w:val="20"/>
              </w:rPr>
              <w:t xml:space="preserve"> sözleşmeleri, </w:t>
            </w:r>
            <w:proofErr w:type="spellStart"/>
            <w:r w:rsidRPr="00432893">
              <w:rPr>
                <w:rFonts w:ascii="Arial" w:eastAsia="Times New Roman" w:hAnsi="Arial" w:cs="Arial"/>
                <w:sz w:val="20"/>
                <w:szCs w:val="20"/>
              </w:rPr>
              <w:t>varantlar</w:t>
            </w:r>
            <w:proofErr w:type="spellEnd"/>
            <w:r w:rsidRPr="00432893">
              <w:rPr>
                <w:rFonts w:ascii="Arial" w:eastAsia="Times New Roman" w:hAnsi="Arial" w:cs="Arial"/>
                <w:sz w:val="20"/>
                <w:szCs w:val="20"/>
              </w:rPr>
              <w:t xml:space="preserve">, </w:t>
            </w:r>
            <w:proofErr w:type="spellStart"/>
            <w:r w:rsidRPr="00432893">
              <w:rPr>
                <w:rFonts w:ascii="Arial" w:eastAsia="Times New Roman" w:hAnsi="Arial" w:cs="Arial"/>
                <w:sz w:val="20"/>
                <w:szCs w:val="20"/>
              </w:rPr>
              <w:t>forward</w:t>
            </w:r>
            <w:proofErr w:type="spellEnd"/>
            <w:r w:rsidRPr="00432893">
              <w:rPr>
                <w:rFonts w:ascii="Arial" w:eastAsia="Times New Roman" w:hAnsi="Arial" w:cs="Arial"/>
                <w:sz w:val="20"/>
                <w:szCs w:val="20"/>
              </w:rPr>
              <w:t xml:space="preserve">, finansal vadeli işlemler ve vadeli işlemlere dayalı opsiyon işlemleri dâhil edilebilir. Vadeli işlem ve </w:t>
            </w:r>
            <w:proofErr w:type="gramStart"/>
            <w:r w:rsidRPr="00432893">
              <w:rPr>
                <w:rFonts w:ascii="Arial" w:eastAsia="Times New Roman" w:hAnsi="Arial" w:cs="Arial"/>
                <w:sz w:val="20"/>
                <w:szCs w:val="20"/>
              </w:rPr>
              <w:t>opsiyon</w:t>
            </w:r>
            <w:proofErr w:type="gramEnd"/>
            <w:r w:rsidRPr="00432893">
              <w:rPr>
                <w:rFonts w:ascii="Arial" w:eastAsia="Times New Roman" w:hAnsi="Arial" w:cs="Arial"/>
                <w:sz w:val="20"/>
                <w:szCs w:val="20"/>
              </w:rPr>
              <w:t xml:space="preserve"> sözleşmeleri ile </w:t>
            </w:r>
            <w:proofErr w:type="spellStart"/>
            <w:r w:rsidRPr="00432893">
              <w:rPr>
                <w:rFonts w:ascii="Arial" w:eastAsia="Times New Roman" w:hAnsi="Arial" w:cs="Arial"/>
                <w:sz w:val="20"/>
                <w:szCs w:val="20"/>
              </w:rPr>
              <w:t>varantlar</w:t>
            </w:r>
            <w:proofErr w:type="spellEnd"/>
            <w:r w:rsidRPr="00432893">
              <w:rPr>
                <w:rFonts w:ascii="Arial" w:eastAsia="Times New Roman" w:hAnsi="Arial" w:cs="Arial"/>
                <w:sz w:val="20"/>
                <w:szCs w:val="20"/>
              </w:rPr>
              <w:t xml:space="preserve"> nedeniyle maruz kalınan açık pozisyon tutarı fon net varlık değerini aşamaz. Portföye alınan vadeli işlem sözleşmelerinin fonun yatırım stratejisine ve karşılaştırma ölçütüne uygun olması zorunludur.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Aracı kuruluş ve ortaklık </w:t>
            </w:r>
            <w:proofErr w:type="spellStart"/>
            <w:r w:rsidRPr="00432893">
              <w:rPr>
                <w:rFonts w:ascii="Arial" w:eastAsia="Times New Roman" w:hAnsi="Arial" w:cs="Arial"/>
                <w:sz w:val="20"/>
                <w:szCs w:val="20"/>
              </w:rPr>
              <w:t>varantlarına</w:t>
            </w:r>
            <w:proofErr w:type="spellEnd"/>
            <w:r w:rsidRPr="00432893">
              <w:rPr>
                <w:rFonts w:ascii="Arial" w:eastAsia="Times New Roman" w:hAnsi="Arial" w:cs="Arial"/>
                <w:sz w:val="20"/>
                <w:szCs w:val="20"/>
              </w:rPr>
              <w:t xml:space="preserve"> yapılan yatırımların toplamı fon </w:t>
            </w:r>
            <w:proofErr w:type="gramStart"/>
            <w:r w:rsidRPr="00432893">
              <w:rPr>
                <w:rFonts w:ascii="Arial" w:eastAsia="Times New Roman" w:hAnsi="Arial" w:cs="Arial"/>
                <w:sz w:val="20"/>
                <w:szCs w:val="20"/>
              </w:rPr>
              <w:t>portföyünün</w:t>
            </w:r>
            <w:proofErr w:type="gramEnd"/>
            <w:r w:rsidRPr="00432893">
              <w:rPr>
                <w:rFonts w:ascii="Arial" w:eastAsia="Times New Roman" w:hAnsi="Arial" w:cs="Arial"/>
                <w:sz w:val="20"/>
                <w:szCs w:val="20"/>
              </w:rPr>
              <w:t xml:space="preserve"> %15’ini geçemez. Ayrıca, aynı varlığa dayalı olarak çıkarılan aracı kuruluş ve ortaklık </w:t>
            </w:r>
            <w:proofErr w:type="spellStart"/>
            <w:r w:rsidRPr="00432893">
              <w:rPr>
                <w:rFonts w:ascii="Arial" w:eastAsia="Times New Roman" w:hAnsi="Arial" w:cs="Arial"/>
                <w:sz w:val="20"/>
                <w:szCs w:val="20"/>
              </w:rPr>
              <w:t>varantlarının</w:t>
            </w:r>
            <w:proofErr w:type="spellEnd"/>
            <w:r w:rsidRPr="00432893">
              <w:rPr>
                <w:rFonts w:ascii="Arial" w:eastAsia="Times New Roman" w:hAnsi="Arial" w:cs="Arial"/>
                <w:sz w:val="20"/>
                <w:szCs w:val="20"/>
              </w:rPr>
              <w:t xml:space="preserve"> toplamı fon </w:t>
            </w:r>
            <w:proofErr w:type="gramStart"/>
            <w:r w:rsidRPr="00432893">
              <w:rPr>
                <w:rFonts w:ascii="Arial" w:eastAsia="Times New Roman" w:hAnsi="Arial" w:cs="Arial"/>
                <w:sz w:val="20"/>
                <w:szCs w:val="20"/>
              </w:rPr>
              <w:t>portföyünün</w:t>
            </w:r>
            <w:proofErr w:type="gramEnd"/>
            <w:r w:rsidRPr="00432893">
              <w:rPr>
                <w:rFonts w:ascii="Arial" w:eastAsia="Times New Roman" w:hAnsi="Arial" w:cs="Arial"/>
                <w:sz w:val="20"/>
                <w:szCs w:val="20"/>
              </w:rPr>
              <w:t xml:space="preserve"> %10’unu, tek bir ihraççı tarafından çıkarılan aracı kuruluş </w:t>
            </w:r>
            <w:proofErr w:type="spellStart"/>
            <w:r w:rsidRPr="00432893">
              <w:rPr>
                <w:rFonts w:ascii="Arial" w:eastAsia="Times New Roman" w:hAnsi="Arial" w:cs="Arial"/>
                <w:sz w:val="20"/>
                <w:szCs w:val="20"/>
              </w:rPr>
              <w:t>varantlarının</w:t>
            </w:r>
            <w:proofErr w:type="spellEnd"/>
            <w:r w:rsidRPr="00432893">
              <w:rPr>
                <w:rFonts w:ascii="Arial" w:eastAsia="Times New Roman" w:hAnsi="Arial" w:cs="Arial"/>
                <w:sz w:val="20"/>
                <w:szCs w:val="20"/>
              </w:rPr>
              <w:t xml:space="preserve">/ortaklık </w:t>
            </w:r>
            <w:proofErr w:type="spellStart"/>
            <w:r w:rsidRPr="00432893">
              <w:rPr>
                <w:rFonts w:ascii="Arial" w:eastAsia="Times New Roman" w:hAnsi="Arial" w:cs="Arial"/>
                <w:sz w:val="20"/>
                <w:szCs w:val="20"/>
              </w:rPr>
              <w:t>varantlarının</w:t>
            </w:r>
            <w:proofErr w:type="spellEnd"/>
            <w:r w:rsidRPr="00432893">
              <w:rPr>
                <w:rFonts w:ascii="Arial" w:eastAsia="Times New Roman" w:hAnsi="Arial" w:cs="Arial"/>
                <w:sz w:val="20"/>
                <w:szCs w:val="20"/>
              </w:rPr>
              <w:t xml:space="preserve"> toplamı ise fon portföyünün %5’ini geçemez. Fonun açık pozisyonunun hesaplanmasında, </w:t>
            </w:r>
            <w:proofErr w:type="spellStart"/>
            <w:r w:rsidRPr="00432893">
              <w:rPr>
                <w:rFonts w:ascii="Arial" w:eastAsia="Times New Roman" w:hAnsi="Arial" w:cs="Arial"/>
                <w:sz w:val="20"/>
                <w:szCs w:val="20"/>
              </w:rPr>
              <w:t>varantlar</w:t>
            </w:r>
            <w:proofErr w:type="spellEnd"/>
            <w:r w:rsidRPr="00432893">
              <w:rPr>
                <w:rFonts w:ascii="Arial" w:eastAsia="Times New Roman" w:hAnsi="Arial" w:cs="Arial"/>
                <w:sz w:val="20"/>
                <w:szCs w:val="20"/>
              </w:rPr>
              <w:t xml:space="preserve"> ile Vadeli İşlemler Borsasında taraf olunan aynı varlığa dayalı vadeli işlem sözleşmelerinde alınan ters pozisyonlar netleştirilir.”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b/>
                <w:sz w:val="20"/>
                <w:szCs w:val="20"/>
              </w:rPr>
              <w:tab/>
              <w:t xml:space="preserve">MADDE 10 – </w:t>
            </w:r>
            <w:r w:rsidRPr="00432893">
              <w:rPr>
                <w:rFonts w:ascii="Arial" w:eastAsia="Times New Roman" w:hAnsi="Arial" w:cs="Arial"/>
                <w:sz w:val="20"/>
                <w:szCs w:val="20"/>
              </w:rPr>
              <w:t xml:space="preserve">Aynı Yönetmeliğin 26 </w:t>
            </w:r>
            <w:proofErr w:type="spellStart"/>
            <w:r w:rsidRPr="00432893">
              <w:rPr>
                <w:rFonts w:ascii="Arial" w:eastAsia="Times New Roman" w:hAnsi="Arial" w:cs="Arial"/>
                <w:sz w:val="20"/>
                <w:szCs w:val="20"/>
              </w:rPr>
              <w:t>ncı</w:t>
            </w:r>
            <w:proofErr w:type="spellEnd"/>
            <w:r w:rsidRPr="00432893">
              <w:rPr>
                <w:rFonts w:ascii="Arial" w:eastAsia="Times New Roman" w:hAnsi="Arial" w:cs="Arial"/>
                <w:sz w:val="20"/>
                <w:szCs w:val="20"/>
              </w:rPr>
              <w:t xml:space="preserve"> maddesine dördüncü ve beşinci fıkra olarak aşağıdaki fıkralar eklenmiştir.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 xml:space="preserve">“Aynı fon çatısı altında, fon işletim giderlerinde ayrıştırılmaya gidilmek suretiyle farklı pay grupları oluşturulabilir. Pay gruplarının oluşturulması halinde, düşük oranlı fon işletim gideri olan </w:t>
            </w:r>
            <w:r w:rsidRPr="00432893">
              <w:rPr>
                <w:rFonts w:ascii="Arial" w:eastAsia="Times New Roman" w:hAnsi="Arial" w:cs="Arial"/>
                <w:sz w:val="20"/>
                <w:szCs w:val="20"/>
              </w:rPr>
              <w:lastRenderedPageBreak/>
              <w:t xml:space="preserve">paylara sahip katılımcılara, fon işletim gideri farklarının iade edilmesi gereklidir. Katılımcı hesaplarına iade edilen fon işletim giderleri farklarının değerlendirilmesine ilişkin usul ve esaslara fon </w:t>
            </w:r>
            <w:proofErr w:type="spellStart"/>
            <w:r w:rsidRPr="00432893">
              <w:rPr>
                <w:rFonts w:ascii="Arial" w:eastAsia="Times New Roman" w:hAnsi="Arial" w:cs="Arial"/>
                <w:sz w:val="20"/>
                <w:szCs w:val="20"/>
              </w:rPr>
              <w:t>izahnamelerinde</w:t>
            </w:r>
            <w:proofErr w:type="spellEnd"/>
            <w:r w:rsidRPr="00432893">
              <w:rPr>
                <w:rFonts w:ascii="Arial" w:eastAsia="Times New Roman" w:hAnsi="Arial" w:cs="Arial"/>
                <w:sz w:val="20"/>
                <w:szCs w:val="20"/>
              </w:rPr>
              <w:t xml:space="preserve"> yer verilmesi gerekmektedir.” </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sz w:val="20"/>
                <w:szCs w:val="20"/>
              </w:rPr>
              <w:tab/>
              <w:t>“Pay grupları oluşturan fonların kamuyu aydınlatmalarına ilişkin esas ve standartları belirlemeye Kurul yetkilidir.”</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b/>
                <w:sz w:val="20"/>
                <w:szCs w:val="20"/>
              </w:rPr>
              <w:tab/>
              <w:t>MADDE 11 –</w:t>
            </w:r>
            <w:r w:rsidRPr="00432893">
              <w:rPr>
                <w:rFonts w:ascii="Arial" w:eastAsia="Times New Roman" w:hAnsi="Arial" w:cs="Arial"/>
                <w:sz w:val="20"/>
                <w:szCs w:val="20"/>
              </w:rPr>
              <w:t xml:space="preserve"> Bu Yönetmelik yayımı tarihinde yürürlüğe girer. </w:t>
            </w:r>
          </w:p>
          <w:p w:rsidR="00432893" w:rsidRPr="00432893" w:rsidRDefault="00432893" w:rsidP="00432893">
            <w:pPr>
              <w:tabs>
                <w:tab w:val="left" w:pos="566"/>
              </w:tabs>
              <w:spacing w:after="0" w:line="240" w:lineRule="exact"/>
              <w:jc w:val="both"/>
              <w:rPr>
                <w:rFonts w:ascii="Arial" w:eastAsia="Times New Roman" w:hAnsi="Arial" w:cs="Arial"/>
                <w:sz w:val="20"/>
                <w:szCs w:val="20"/>
              </w:rPr>
            </w:pPr>
            <w:r w:rsidRPr="00432893">
              <w:rPr>
                <w:rFonts w:ascii="Arial" w:eastAsia="Times New Roman" w:hAnsi="Arial" w:cs="Arial"/>
                <w:b/>
                <w:sz w:val="20"/>
                <w:szCs w:val="20"/>
              </w:rPr>
              <w:tab/>
              <w:t>MADDE 12 –</w:t>
            </w:r>
            <w:r w:rsidRPr="00432893">
              <w:rPr>
                <w:rFonts w:ascii="Arial" w:eastAsia="Times New Roman" w:hAnsi="Arial" w:cs="Arial"/>
                <w:sz w:val="20"/>
                <w:szCs w:val="20"/>
              </w:rPr>
              <w:t xml:space="preserve"> Bu Yönetmelik hükümlerini Sermaye Piyasası Kurulu yürütür</w:t>
            </w:r>
          </w:p>
        </w:tc>
      </w:tr>
    </w:tbl>
    <w:p w:rsidR="00715FF2" w:rsidRPr="00432893" w:rsidRDefault="00715FF2">
      <w:pPr>
        <w:rPr>
          <w:rFonts w:ascii="Arial" w:hAnsi="Arial" w:cs="Arial"/>
          <w:sz w:val="20"/>
          <w:szCs w:val="20"/>
        </w:rPr>
      </w:pPr>
    </w:p>
    <w:sectPr w:rsidR="00715FF2" w:rsidRPr="00432893" w:rsidSect="00715F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2893"/>
    <w:rsid w:val="001505F4"/>
    <w:rsid w:val="002827B2"/>
    <w:rsid w:val="00432893"/>
    <w:rsid w:val="004E4AAB"/>
    <w:rsid w:val="00715FF2"/>
    <w:rsid w:val="00942E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328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432893"/>
    <w:pPr>
      <w:tabs>
        <w:tab w:val="left" w:pos="566"/>
      </w:tabs>
      <w:spacing w:after="0" w:line="240" w:lineRule="auto"/>
    </w:pPr>
    <w:rPr>
      <w:rFonts w:ascii="Times New Roman" w:eastAsia="Times New Roman" w:hAnsi="Times New Roman" w:cs="Times New Roman"/>
      <w:szCs w:val="20"/>
      <w:u w:val="single"/>
    </w:rPr>
  </w:style>
  <w:style w:type="paragraph" w:customStyle="1" w:styleId="2-OrtaBaslk">
    <w:name w:val="2-Orta Baslık"/>
    <w:rsid w:val="00432893"/>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432893"/>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F945-C900-470C-B6F7-B85F628D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1919</Words>
  <Characters>10940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EGM 6648</cp:lastModifiedBy>
  <cp:revision>4</cp:revision>
  <cp:lastPrinted>2010-06-11T06:49:00Z</cp:lastPrinted>
  <dcterms:created xsi:type="dcterms:W3CDTF">2010-06-11T07:34:00Z</dcterms:created>
  <dcterms:modified xsi:type="dcterms:W3CDTF">2010-06-11T07:40:00Z</dcterms:modified>
</cp:coreProperties>
</file>