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54" w:rsidRDefault="00106154" w:rsidP="00106154">
      <w:pPr>
        <w:spacing w:before="100" w:beforeAutospacing="1" w:after="100" w:afterAutospacing="1" w:line="240" w:lineRule="auto"/>
        <w:rPr>
          <w:rFonts w:ascii="Arial" w:eastAsia="Times New Roman" w:hAnsi="Arial" w:cs="Arial"/>
          <w:b/>
          <w:color w:val="000080"/>
          <w:sz w:val="20"/>
          <w:lang w:val="tr-TR" w:eastAsia="tr-TR"/>
        </w:rPr>
      </w:pPr>
    </w:p>
    <w:p w:rsidR="00106154" w:rsidRDefault="00106154" w:rsidP="00106154">
      <w:pPr>
        <w:spacing w:after="0" w:line="240" w:lineRule="auto"/>
        <w:rPr>
          <w:rFonts w:ascii="Arial" w:eastAsia="Times New Roman" w:hAnsi="Arial" w:cs="Arial"/>
          <w:color w:val="auto"/>
          <w:sz w:val="20"/>
          <w:lang w:val="tr-TR" w:eastAsia="tr-TR"/>
        </w:rPr>
      </w:pPr>
      <w:r w:rsidRPr="00106154">
        <w:rPr>
          <w:rFonts w:ascii="Arial" w:eastAsia="Times New Roman" w:hAnsi="Arial" w:cs="Arial"/>
          <w:color w:val="auto"/>
          <w:sz w:val="20"/>
          <w:lang w:val="tr-TR" w:eastAsia="tr-TR"/>
        </w:rPr>
        <w:t>28 Temmuz 2010 ÇARŞAMBA</w:t>
      </w:r>
    </w:p>
    <w:p w:rsidR="00106154" w:rsidRPr="006A022C" w:rsidRDefault="00106154" w:rsidP="00106154">
      <w:pPr>
        <w:spacing w:after="0" w:line="240" w:lineRule="auto"/>
        <w:rPr>
          <w:rFonts w:ascii="Arial" w:eastAsia="Times New Roman" w:hAnsi="Arial" w:cs="Arial"/>
          <w:b/>
          <w:color w:val="auto"/>
          <w:sz w:val="20"/>
          <w:lang w:val="tr-TR" w:eastAsia="tr-TR"/>
        </w:rPr>
      </w:pPr>
      <w:r w:rsidRPr="00106154">
        <w:rPr>
          <w:rFonts w:ascii="Arial" w:eastAsia="Times New Roman" w:hAnsi="Arial" w:cs="Arial"/>
          <w:b/>
          <w:color w:val="auto"/>
          <w:sz w:val="20"/>
          <w:lang w:val="tr-TR" w:eastAsia="tr-TR"/>
        </w:rPr>
        <w:t>Resmî Gazete</w:t>
      </w:r>
      <w:r w:rsidRPr="006A022C">
        <w:rPr>
          <w:rFonts w:ascii="Arial" w:eastAsia="Times New Roman" w:hAnsi="Arial" w:cs="Arial"/>
          <w:b/>
          <w:color w:val="auto"/>
          <w:sz w:val="20"/>
          <w:lang w:val="tr-TR" w:eastAsia="tr-TR"/>
        </w:rPr>
        <w:t xml:space="preserve"> </w:t>
      </w:r>
      <w:proofErr w:type="gramStart"/>
      <w:r w:rsidRPr="00106154">
        <w:rPr>
          <w:rFonts w:ascii="Arial" w:eastAsia="Times New Roman" w:hAnsi="Arial" w:cs="Arial"/>
          <w:color w:val="auto"/>
          <w:sz w:val="20"/>
          <w:lang w:val="tr-TR" w:eastAsia="tr-TR"/>
        </w:rPr>
        <w:t>Sayı : 27655</w:t>
      </w:r>
      <w:proofErr w:type="gramEnd"/>
    </w:p>
    <w:p w:rsidR="00106154" w:rsidRPr="00106154" w:rsidRDefault="00106154" w:rsidP="00106154">
      <w:pPr>
        <w:spacing w:before="100" w:beforeAutospacing="1" w:after="100" w:afterAutospacing="1" w:line="240" w:lineRule="auto"/>
        <w:jc w:val="center"/>
        <w:rPr>
          <w:rFonts w:ascii="Arial" w:eastAsia="Times New Roman" w:hAnsi="Arial" w:cs="Arial"/>
          <w:b/>
          <w:color w:val="000080"/>
          <w:sz w:val="20"/>
          <w:lang w:val="tr-TR" w:eastAsia="tr-TR"/>
        </w:rPr>
      </w:pPr>
      <w:r w:rsidRPr="00106154">
        <w:rPr>
          <w:rFonts w:ascii="Arial" w:eastAsia="Times New Roman" w:hAnsi="Arial" w:cs="Arial"/>
          <w:b/>
          <w:color w:val="000080"/>
          <w:sz w:val="20"/>
          <w:lang w:val="tr-TR" w:eastAsia="tr-TR"/>
        </w:rPr>
        <w:t>YÖNETMELİK</w:t>
      </w:r>
    </w:p>
    <w:p w:rsidR="00106154" w:rsidRDefault="00106154" w:rsidP="00106154">
      <w:pPr>
        <w:tabs>
          <w:tab w:val="left" w:pos="708"/>
        </w:tabs>
        <w:spacing w:after="0" w:line="240" w:lineRule="exact"/>
        <w:ind w:firstLine="567"/>
        <w:jc w:val="both"/>
        <w:rPr>
          <w:rFonts w:ascii="Arial" w:eastAsia="Times New Roman" w:hAnsi="Arial" w:cs="Arial"/>
          <w:color w:val="auto"/>
          <w:sz w:val="20"/>
          <w:u w:val="single"/>
          <w:lang w:val="tr-TR"/>
        </w:rPr>
      </w:pPr>
      <w:r w:rsidRPr="00106154">
        <w:rPr>
          <w:rFonts w:ascii="Arial" w:eastAsia="Times New Roman" w:hAnsi="Arial" w:cs="Arial"/>
          <w:color w:val="auto"/>
          <w:sz w:val="20"/>
          <w:u w:val="single"/>
          <w:lang w:val="tr-TR"/>
        </w:rPr>
        <w:t>Başbakanlık (Hazine Müsteşarlığı)’tan:</w:t>
      </w:r>
    </w:p>
    <w:p w:rsidR="00106154" w:rsidRPr="00106154" w:rsidRDefault="00106154" w:rsidP="00106154">
      <w:pPr>
        <w:tabs>
          <w:tab w:val="left" w:pos="708"/>
        </w:tabs>
        <w:spacing w:after="0" w:line="240" w:lineRule="exact"/>
        <w:ind w:firstLine="567"/>
        <w:jc w:val="both"/>
        <w:rPr>
          <w:rFonts w:ascii="Arial" w:eastAsia="Times New Roman" w:hAnsi="Arial" w:cs="Arial"/>
          <w:color w:val="auto"/>
          <w:sz w:val="20"/>
          <w:u w:val="single"/>
          <w:lang w:val="tr-TR"/>
        </w:rPr>
      </w:pPr>
    </w:p>
    <w:p w:rsidR="00106154" w:rsidRPr="00106154" w:rsidRDefault="00106154" w:rsidP="00106154">
      <w:pPr>
        <w:spacing w:after="0" w:line="240" w:lineRule="exact"/>
        <w:jc w:val="center"/>
        <w:rPr>
          <w:rFonts w:ascii="Arial" w:eastAsia="Times New Roman" w:hAnsi="Arial" w:cs="Arial"/>
          <w:b/>
          <w:color w:val="auto"/>
          <w:sz w:val="20"/>
          <w:lang w:val="tr-TR"/>
        </w:rPr>
      </w:pPr>
      <w:r w:rsidRPr="00106154">
        <w:rPr>
          <w:rFonts w:ascii="Arial" w:eastAsia="Times New Roman" w:hAnsi="Arial" w:cs="Arial"/>
          <w:b/>
          <w:color w:val="auto"/>
          <w:sz w:val="20"/>
          <w:lang w:val="tr-TR"/>
        </w:rPr>
        <w:t xml:space="preserve">SİGORTA VE REASÜRANS İLE EMEKLİLİK ŞİRKETLERİNİN TEKNİK </w:t>
      </w:r>
    </w:p>
    <w:p w:rsidR="00106154" w:rsidRPr="00106154" w:rsidRDefault="00106154" w:rsidP="00106154">
      <w:pPr>
        <w:spacing w:after="0" w:line="240" w:lineRule="exact"/>
        <w:jc w:val="center"/>
        <w:rPr>
          <w:rFonts w:ascii="Arial" w:eastAsia="Times New Roman" w:hAnsi="Arial" w:cs="Arial"/>
          <w:b/>
          <w:color w:val="auto"/>
          <w:sz w:val="20"/>
          <w:lang w:val="tr-TR"/>
        </w:rPr>
      </w:pPr>
      <w:r w:rsidRPr="00106154">
        <w:rPr>
          <w:rFonts w:ascii="Arial" w:eastAsia="Times New Roman" w:hAnsi="Arial" w:cs="Arial"/>
          <w:b/>
          <w:color w:val="auto"/>
          <w:sz w:val="20"/>
          <w:lang w:val="tr-TR"/>
        </w:rPr>
        <w:t>KARŞILIKLARINA VE BU KARŞILIKLARIN YATIRILACAĞI</w:t>
      </w:r>
    </w:p>
    <w:p w:rsidR="00106154" w:rsidRPr="00106154" w:rsidRDefault="00106154" w:rsidP="00106154">
      <w:pPr>
        <w:spacing w:after="0" w:line="240" w:lineRule="exact"/>
        <w:jc w:val="center"/>
        <w:rPr>
          <w:rFonts w:ascii="Arial" w:eastAsia="Times New Roman" w:hAnsi="Arial" w:cs="Arial"/>
          <w:b/>
          <w:color w:val="auto"/>
          <w:sz w:val="20"/>
          <w:lang w:val="tr-TR"/>
        </w:rPr>
      </w:pPr>
      <w:r w:rsidRPr="00106154">
        <w:rPr>
          <w:rFonts w:ascii="Arial" w:eastAsia="Times New Roman" w:hAnsi="Arial" w:cs="Arial"/>
          <w:b/>
          <w:color w:val="auto"/>
          <w:sz w:val="20"/>
          <w:lang w:val="tr-TR"/>
        </w:rPr>
        <w:t xml:space="preserve">VARLIKLARA İLİŞKİN YÖNETMELİKTE DEĞİŞİKLİK </w:t>
      </w:r>
    </w:p>
    <w:p w:rsidR="00106154" w:rsidRDefault="00106154" w:rsidP="00106154">
      <w:pPr>
        <w:spacing w:after="0" w:line="240" w:lineRule="exact"/>
        <w:jc w:val="center"/>
        <w:rPr>
          <w:rFonts w:ascii="Arial" w:eastAsia="Times New Roman" w:hAnsi="Arial" w:cs="Arial"/>
          <w:b/>
          <w:color w:val="auto"/>
          <w:sz w:val="20"/>
          <w:lang w:val="tr-TR"/>
        </w:rPr>
      </w:pPr>
      <w:r w:rsidRPr="00106154">
        <w:rPr>
          <w:rFonts w:ascii="Arial" w:eastAsia="Times New Roman" w:hAnsi="Arial" w:cs="Arial"/>
          <w:b/>
          <w:color w:val="auto"/>
          <w:sz w:val="20"/>
          <w:lang w:val="tr-TR"/>
        </w:rPr>
        <w:t>YAPILMASINA DAİR YÖNETMELİK</w:t>
      </w:r>
    </w:p>
    <w:p w:rsidR="00106154" w:rsidRPr="00106154" w:rsidRDefault="00106154" w:rsidP="00106154">
      <w:pPr>
        <w:spacing w:after="0" w:line="240" w:lineRule="exact"/>
        <w:jc w:val="center"/>
        <w:rPr>
          <w:rFonts w:ascii="Arial" w:eastAsia="Times New Roman" w:hAnsi="Arial" w:cs="Arial"/>
          <w:b/>
          <w:color w:val="auto"/>
          <w:sz w:val="20"/>
          <w:lang w:val="tr-TR"/>
        </w:rPr>
      </w:pP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1 –</w:t>
      </w:r>
      <w:r w:rsidRPr="00106154">
        <w:rPr>
          <w:rFonts w:ascii="Arial" w:eastAsia="Times New Roman" w:hAnsi="Arial" w:cs="Arial"/>
          <w:color w:val="auto"/>
          <w:sz w:val="20"/>
          <w:lang w:val="tr-TR"/>
        </w:rPr>
        <w:t xml:space="preserve"> </w:t>
      </w:r>
      <w:proofErr w:type="gramStart"/>
      <w:r w:rsidRPr="00106154">
        <w:rPr>
          <w:rFonts w:ascii="Arial" w:eastAsia="Times New Roman" w:hAnsi="Arial" w:cs="Arial"/>
          <w:color w:val="auto"/>
          <w:sz w:val="20"/>
          <w:lang w:val="tr-TR"/>
        </w:rPr>
        <w:t>7/8/2007</w:t>
      </w:r>
      <w:proofErr w:type="gramEnd"/>
      <w:r w:rsidRPr="00106154">
        <w:rPr>
          <w:rFonts w:ascii="Arial" w:eastAsia="Times New Roman" w:hAnsi="Arial" w:cs="Arial"/>
          <w:color w:val="auto"/>
          <w:sz w:val="20"/>
          <w:lang w:val="tr-TR"/>
        </w:rPr>
        <w:t xml:space="preserve"> tarihli ve 26606 sayılı Resmî Gazete’de yayımlanan Sigorta ve Reasürans ile Emeklilik Şirketlerinin Teknik Karşılıklarına ve Bu Karşılıkların Yatırılacağı Varlıklara İlişkin Yönetmeliğin 4 üncü maddesinin birinci fıkrasına aşağıdaki (c) bendi eklenmiş ve mevcut (c) bendi ve takip eden bentler buna göre teselsül ettirilmiştir.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“c) Destek hizmetleri: Çekme, kurtarma, kiralık araç sağlanması, tıbbi nakil, </w:t>
      </w:r>
      <w:proofErr w:type="gramStart"/>
      <w:r w:rsidRPr="00106154">
        <w:rPr>
          <w:rFonts w:ascii="Arial" w:eastAsia="Times New Roman" w:hAnsi="Arial" w:cs="Arial"/>
          <w:color w:val="auto"/>
          <w:sz w:val="20"/>
          <w:lang w:val="tr-TR"/>
        </w:rPr>
        <w:t>ambülans</w:t>
      </w:r>
      <w:proofErr w:type="gramEnd"/>
      <w:r w:rsidRPr="00106154">
        <w:rPr>
          <w:rFonts w:ascii="Arial" w:eastAsia="Times New Roman" w:hAnsi="Arial" w:cs="Arial"/>
          <w:color w:val="auto"/>
          <w:sz w:val="20"/>
          <w:lang w:val="tr-TR"/>
        </w:rPr>
        <w:t xml:space="preserve"> sağlanması, camcı ve çilingir sağlanması gibi verilen sigorta teminatını tamamlayıcı nitelikte olan ve dışarıdan sağlanan hizmetleri,”</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2 –</w:t>
      </w:r>
      <w:r w:rsidRPr="00106154">
        <w:rPr>
          <w:rFonts w:ascii="Arial" w:eastAsia="Times New Roman" w:hAnsi="Arial" w:cs="Arial"/>
          <w:color w:val="auto"/>
          <w:sz w:val="20"/>
          <w:lang w:val="tr-TR"/>
        </w:rPr>
        <w:t xml:space="preserve"> Aynı Yönetmeliğin 5 inci maddesi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5 –</w:t>
      </w:r>
      <w:r w:rsidRPr="00106154">
        <w:rPr>
          <w:rFonts w:ascii="Arial" w:eastAsia="Times New Roman" w:hAnsi="Arial" w:cs="Arial"/>
          <w:color w:val="auto"/>
          <w:sz w:val="20"/>
          <w:lang w:val="tr-TR"/>
        </w:rPr>
        <w:t xml:space="preserve"> (1) Şirketler matematik karşılık ayrılan sigorta sözleşmeleri hariç diğer sözleşmeler için kazanılmamış primler karşılığı ayırmak zorundadır. Yıllık veya bir yıldan kısa süreli aralıklarla yenilenen sigorta teminatı içeren bir yıldan uzun süreli sigorta sözleşmelerinin yıllık sigorta teminatına karşılık gelen primleri için de kazanılmamış primler karşılığı ayrılır.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Ölüm, yaşama ve her ikisinin kapsandığı hem ölüm hem de yaşama ihtimallerine bağlı teminatlar ile bu teminatlara ek olarak verilen teminatlara ilişkin sözleşmeler hayat sigortası sözleşmesi sayılır ve bunlara ait primler hayat sigortası primi olarak kabul edilir.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(3) Ek teminatların hayat sigortası sözleşmesi ile beraber paket sözleşme olarak verildiği hallerde, bu teminatlar birlikte verildiği hayat sigortası sözleşmelerinden tamamıyla bağımsız olarak değerlendirilir.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(4)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düşüldükten sonra kalan tutarın takip eden dönem veya dönemlere sarkan kısmından oluşur.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(5) Kazanılmamış primler karşılığının hesaplanması sırasında, sigorta teminatının başladığı gün ile bitiş günü yarım gün olarak dikkate alınır ve buna göre hesaplama yapılır.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(6) Bu maddenin birinci fıkrasında belirtilen sözleşmeler için; üretime bağlı olarak tahakkukunun yapılması kaydıyla aracılara ödenen komisyonlar, </w:t>
      </w:r>
      <w:proofErr w:type="spellStart"/>
      <w:r w:rsidRPr="00106154">
        <w:rPr>
          <w:rFonts w:ascii="Arial" w:eastAsia="Times New Roman" w:hAnsi="Arial" w:cs="Arial"/>
          <w:color w:val="auto"/>
          <w:sz w:val="20"/>
          <w:lang w:val="tr-TR"/>
        </w:rPr>
        <w:t>reasüröre</w:t>
      </w:r>
      <w:proofErr w:type="spellEnd"/>
      <w:r w:rsidRPr="00106154">
        <w:rPr>
          <w:rFonts w:ascii="Arial" w:eastAsia="Times New Roman" w:hAnsi="Arial" w:cs="Arial"/>
          <w:color w:val="auto"/>
          <w:sz w:val="20"/>
          <w:lang w:val="tr-TR"/>
        </w:rPr>
        <w:t xml:space="preserve"> devredilen primler nedeniyle alınan komisyonlar, bölüşmesiz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 için ödenen tutarlar ile tarifelerin ve sigorta sözleşmelerinin hazırlanması ve satışı için yapılan değişken üretim giderleri ve destek hizmetlerine ilişkin ödemelerin gelecek dönem veya dönemlere isabet eden kısmı ertelenmiş gelirler ve ertelenmiş giderler hesapları ile diğer ilgili hesaplar altında muhasebeleştirilir. Bir yıldan uzun süreli sigorta sözleşmeleri için gelir ve giderlerin ertelenmesine ilişkin usul ve esaslar Müsteşarlıkça ayrıca belirlenir. Her ne ad altında olursa olsun; sözleşmeye bağlı olarak verilmeyen ve sözleşmenin yürürlükten kalkmasına bağlı olarak iadeye konu olmayan teşvik, kârlılık ve benzeri komisyonlar ile giderler ertelenmiş gelir ve gider hesaplamalarında dikkate alınmaz.</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(7) Gün veya 1/24 esasına göre hesaplama yapılması mümkün olmayan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ve </w:t>
      </w:r>
      <w:proofErr w:type="spellStart"/>
      <w:r w:rsidRPr="00106154">
        <w:rPr>
          <w:rFonts w:ascii="Arial" w:eastAsia="Times New Roman" w:hAnsi="Arial" w:cs="Arial"/>
          <w:color w:val="auto"/>
          <w:sz w:val="20"/>
          <w:lang w:val="tr-TR"/>
        </w:rPr>
        <w:t>retrosesyon</w:t>
      </w:r>
      <w:proofErr w:type="spellEnd"/>
      <w:r w:rsidRPr="00106154">
        <w:rPr>
          <w:rFonts w:ascii="Arial" w:eastAsia="Times New Roman" w:hAnsi="Arial" w:cs="Arial"/>
          <w:color w:val="auto"/>
          <w:sz w:val="20"/>
          <w:lang w:val="tr-TR"/>
        </w:rPr>
        <w:t xml:space="preserve"> işlemlerinde, kazanılmamış primler karşılığı 1/8 esasına göre ayrılabilir.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(8) Belirli bir bitiş tarihi olmayan </w:t>
      </w:r>
      <w:proofErr w:type="spellStart"/>
      <w:r w:rsidRPr="00106154">
        <w:rPr>
          <w:rFonts w:ascii="Arial" w:eastAsia="Times New Roman" w:hAnsi="Arial" w:cs="Arial"/>
          <w:color w:val="auto"/>
          <w:sz w:val="20"/>
          <w:lang w:val="tr-TR"/>
        </w:rPr>
        <w:t>emtea</w:t>
      </w:r>
      <w:proofErr w:type="spellEnd"/>
      <w:r w:rsidRPr="00106154">
        <w:rPr>
          <w:rFonts w:ascii="Arial" w:eastAsia="Times New Roman" w:hAnsi="Arial" w:cs="Arial"/>
          <w:color w:val="auto"/>
          <w:sz w:val="20"/>
          <w:lang w:val="tr-TR"/>
        </w:rPr>
        <w:t xml:space="preserve"> nakliyat sigortası sözleşmelerinde, </w:t>
      </w:r>
      <w:proofErr w:type="gramStart"/>
      <w:r w:rsidRPr="00106154">
        <w:rPr>
          <w:rFonts w:ascii="Arial" w:eastAsia="Times New Roman" w:hAnsi="Arial" w:cs="Arial"/>
          <w:color w:val="auto"/>
          <w:sz w:val="20"/>
          <w:lang w:val="tr-TR"/>
        </w:rPr>
        <w:t>istatistiki</w:t>
      </w:r>
      <w:proofErr w:type="gramEnd"/>
      <w:r w:rsidRPr="00106154">
        <w:rPr>
          <w:rFonts w:ascii="Arial" w:eastAsia="Times New Roman" w:hAnsi="Arial" w:cs="Arial"/>
          <w:color w:val="auto"/>
          <w:sz w:val="20"/>
          <w:lang w:val="tr-TR"/>
        </w:rPr>
        <w:t xml:space="preserve"> verilere göre tahmini bitiş tarihlerinin tespit edilmesi ve buna göre kazanılmamış primler karşılığı ayrılması gerekmektedir. Bu hesabın yapılamaması durumunda, son üç ayda tahakkuk etmiş primlerin % 50'si kazanılmamış primler karşılığı olarak ayrılır.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(9) Kazanılmamış primler karşılığı </w:t>
      </w:r>
      <w:proofErr w:type="spellStart"/>
      <w:r w:rsidRPr="00106154">
        <w:rPr>
          <w:rFonts w:ascii="Arial" w:eastAsia="Times New Roman" w:hAnsi="Arial" w:cs="Arial"/>
          <w:color w:val="auto"/>
          <w:sz w:val="20"/>
          <w:lang w:val="tr-TR"/>
        </w:rPr>
        <w:t>reasürör</w:t>
      </w:r>
      <w:proofErr w:type="spellEnd"/>
      <w:r w:rsidRPr="00106154">
        <w:rPr>
          <w:rFonts w:ascii="Arial" w:eastAsia="Times New Roman" w:hAnsi="Arial" w:cs="Arial"/>
          <w:color w:val="auto"/>
          <w:sz w:val="20"/>
          <w:lang w:val="tr-TR"/>
        </w:rPr>
        <w:t xml:space="preserve"> payı tutarının hesabında yürürlükte bulunan veya ilgili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anlaşmalarının şartları dikkate alınır.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lastRenderedPageBreak/>
        <w:t xml:space="preserve">  </w:t>
      </w:r>
      <w:r w:rsidRPr="00106154">
        <w:rPr>
          <w:rFonts w:ascii="Arial" w:eastAsia="Times New Roman" w:hAnsi="Arial" w:cs="Arial"/>
          <w:color w:val="auto"/>
          <w:sz w:val="20"/>
          <w:lang w:val="tr-TR"/>
        </w:rPr>
        <w:tab/>
        <w:t xml:space="preserve">(10) Net primin hesaplanmasında, bölüşmesiz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 için ödenen tutarların ilgili döneme tekabül eden kısmı devredilen prim olarak telakki edilir.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(11)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proofErr w:type="gramStart"/>
      <w:r w:rsidRPr="00106154">
        <w:rPr>
          <w:rFonts w:ascii="Arial" w:eastAsia="Times New Roman" w:hAnsi="Arial" w:cs="Arial"/>
          <w:color w:val="auto"/>
          <w:sz w:val="20"/>
          <w:lang w:val="tr-TR"/>
        </w:rPr>
        <w:t>(12) İlgili hesap yılı içerisinde; cari hesap dönemi itibarıyla finansal tablolar düzenlenirken Devreden Kazanılmamış Primler Karşılığı rakamı olarak, bir önceki hesap yılı sonunun finansal tablolarında yer alan Kazanılmamış Primler Karşılığı rakamı yazılmalı, dönem Kazanılmamış Primler Karşılığı olarak ise finansal tabloların düzenlendiği tarih itibarıyla yürürlükte olan sigorta sözleşme primlerinin gün esasına göre hesaplanarak bulunan kazanılmamış kısımları toplamı alınmalıdır.”</w:t>
      </w:r>
      <w:proofErr w:type="gramEnd"/>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3 –</w:t>
      </w:r>
      <w:r w:rsidRPr="00106154">
        <w:rPr>
          <w:rFonts w:ascii="Arial" w:eastAsia="Times New Roman" w:hAnsi="Arial" w:cs="Arial"/>
          <w:color w:val="auto"/>
          <w:sz w:val="20"/>
          <w:lang w:val="tr-TR"/>
        </w:rPr>
        <w:t xml:space="preserve"> Aynı Yönetmeliğin 6 </w:t>
      </w:r>
      <w:proofErr w:type="spellStart"/>
      <w:r w:rsidRPr="00106154">
        <w:rPr>
          <w:rFonts w:ascii="Arial" w:eastAsia="Times New Roman" w:hAnsi="Arial" w:cs="Arial"/>
          <w:color w:val="auto"/>
          <w:sz w:val="20"/>
          <w:lang w:val="tr-TR"/>
        </w:rPr>
        <w:t>ncı</w:t>
      </w:r>
      <w:proofErr w:type="spellEnd"/>
      <w:r w:rsidRPr="00106154">
        <w:rPr>
          <w:rFonts w:ascii="Arial" w:eastAsia="Times New Roman" w:hAnsi="Arial" w:cs="Arial"/>
          <w:color w:val="auto"/>
          <w:sz w:val="20"/>
          <w:lang w:val="tr-TR"/>
        </w:rPr>
        <w:t xml:space="preserve"> maddesi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6 –</w:t>
      </w:r>
      <w:r w:rsidRPr="00106154">
        <w:rPr>
          <w:rFonts w:ascii="Arial" w:eastAsia="Times New Roman" w:hAnsi="Arial" w:cs="Arial"/>
          <w:color w:val="auto"/>
          <w:sz w:val="20"/>
          <w:lang w:val="tr-TR"/>
        </w:rPr>
        <w:t xml:space="preserve"> (1) Sigorta sözleşmesinin süresi boyunca üstlenilen risk düzeyi ile kazanılan primlerin zamana bağlı dağılımının uyumlu olmadığı kabul edilen sigorta </w:t>
      </w:r>
      <w:proofErr w:type="gramStart"/>
      <w:r w:rsidRPr="00106154">
        <w:rPr>
          <w:rFonts w:ascii="Arial" w:eastAsia="Times New Roman" w:hAnsi="Arial" w:cs="Arial"/>
          <w:color w:val="auto"/>
          <w:sz w:val="20"/>
          <w:lang w:val="tr-TR"/>
        </w:rPr>
        <w:t>branşlarında</w:t>
      </w:r>
      <w:proofErr w:type="gramEnd"/>
      <w:r w:rsidRPr="00106154">
        <w:rPr>
          <w:rFonts w:ascii="Arial" w:eastAsia="Times New Roman" w:hAnsi="Arial" w:cs="Arial"/>
          <w:color w:val="auto"/>
          <w:sz w:val="20"/>
          <w:lang w:val="tr-TR"/>
        </w:rPr>
        <w:t>, ayrıca kazanılmamış primler karşılığının şirketin taşıdığı risk ve beklenen masraf düzeyine göre yetersiz kalması halinde ayrılır.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Şirketler devam eden riskler karşılığı ayırırken, yürürlükte bulunan ve kazanılmamış primler karşılığı ayrılan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(3) Bu test yapılırken, net kazanılmamış primler karşılığının beklenen net hasar prim oranı ile çarpılması gerekmektedir. Beklenen net hasar prim oranı, gerçekleşmiş hasarların (</w:t>
      </w:r>
      <w:proofErr w:type="gramStart"/>
      <w:r w:rsidRPr="00106154">
        <w:rPr>
          <w:rFonts w:ascii="Arial" w:eastAsia="Times New Roman" w:hAnsi="Arial" w:cs="Arial"/>
          <w:color w:val="auto"/>
          <w:sz w:val="20"/>
          <w:lang w:val="tr-TR"/>
        </w:rPr>
        <w:t>muallak  tazminatlar</w:t>
      </w:r>
      <w:proofErr w:type="gramEnd"/>
      <w:r w:rsidRPr="00106154">
        <w:rPr>
          <w:rFonts w:ascii="Arial" w:eastAsia="Times New Roman" w:hAnsi="Arial" w:cs="Arial"/>
          <w:color w:val="auto"/>
          <w:sz w:val="20"/>
          <w:lang w:val="tr-TR"/>
        </w:rPr>
        <w:t xml:space="preserve"> (net) + ödenen tazminatlar (net) - devreden muallak tazminatlar (net)) kazanılmış prime (yazılan primler (net) + devreden kazanılmamış primler karşılığı (net)- kazanılmamış primler karşılığı (net)) bölünmesi suretiyle bulunur. Müsteşarlıkça belirlenecek branşlar için beklenen hasar prim oranının % 95’in üzerinde olması halinde, % 95’i aşan oranın net kazanılmamış primler karşılığı ile çarpılması sonucunda bulunan tutar net devam eden riskler karşılığı, %95’i aşan </w:t>
      </w:r>
      <w:proofErr w:type="gramStart"/>
      <w:r w:rsidRPr="00106154">
        <w:rPr>
          <w:rFonts w:ascii="Arial" w:eastAsia="Times New Roman" w:hAnsi="Arial" w:cs="Arial"/>
          <w:color w:val="auto"/>
          <w:sz w:val="20"/>
          <w:lang w:val="tr-TR"/>
        </w:rPr>
        <w:t>oranın  brüt</w:t>
      </w:r>
      <w:proofErr w:type="gramEnd"/>
      <w:r w:rsidRPr="00106154">
        <w:rPr>
          <w:rFonts w:ascii="Arial" w:eastAsia="Times New Roman" w:hAnsi="Arial" w:cs="Arial"/>
          <w:color w:val="auto"/>
          <w:sz w:val="20"/>
          <w:lang w:val="tr-TR"/>
        </w:rPr>
        <w:t xml:space="preserve">  kazanılmamış primler karşılığı ile çarpılması sonucunda bulunan tutar brüt devam eden riskler karşılığı olarak finansal tablolarda yer alır. Brüt tutar ile net tutar arasındaki fark ise </w:t>
      </w:r>
      <w:proofErr w:type="spellStart"/>
      <w:r w:rsidRPr="00106154">
        <w:rPr>
          <w:rFonts w:ascii="Arial" w:eastAsia="Times New Roman" w:hAnsi="Arial" w:cs="Arial"/>
          <w:color w:val="auto"/>
          <w:sz w:val="20"/>
          <w:lang w:val="tr-TR"/>
        </w:rPr>
        <w:t>reasürör</w:t>
      </w:r>
      <w:proofErr w:type="spellEnd"/>
      <w:r w:rsidRPr="00106154">
        <w:rPr>
          <w:rFonts w:ascii="Arial" w:eastAsia="Times New Roman" w:hAnsi="Arial" w:cs="Arial"/>
          <w:color w:val="auto"/>
          <w:sz w:val="20"/>
          <w:lang w:val="tr-TR"/>
        </w:rPr>
        <w:t xml:space="preserve"> payı olarak dikkate alınır. Bölüşmesiz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 için ödenen tutarların ilgili döneme tekabül eden kısmı net prim hesabında devredilen prim olarak kabul edilir.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(4) Devam eden riskler karşılığının hesabı sırasında kullanılan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karşılıklarının; tahakkuk etmiş ve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tespit edilmiş ve gerçekleşmiş ancak rapor edilmemiş muallak tazminatlar ile gider paylarını ve gerekli durumlarda muallak tazminat yeterlilik farkını içermesi gerekmektedir.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(5) Şirketler kendi tarifelerini hazırlama ve bu tarifeleri güncelleme aşamasında devam eden riskler karşılığı tutarını dikkate almak zorundadır.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(6) Yeni faaliyete başlanılan </w:t>
      </w:r>
      <w:proofErr w:type="gramStart"/>
      <w:r w:rsidRPr="00106154">
        <w:rPr>
          <w:rFonts w:ascii="Arial" w:eastAsia="Times New Roman" w:hAnsi="Arial" w:cs="Arial"/>
          <w:color w:val="auto"/>
          <w:sz w:val="20"/>
          <w:lang w:val="tr-TR"/>
        </w:rPr>
        <w:t>branşlarda</w:t>
      </w:r>
      <w:proofErr w:type="gramEnd"/>
      <w:r w:rsidRPr="00106154">
        <w:rPr>
          <w:rFonts w:ascii="Arial" w:eastAsia="Times New Roman" w:hAnsi="Arial" w:cs="Arial"/>
          <w:color w:val="auto"/>
          <w:sz w:val="20"/>
          <w:lang w:val="tr-TR"/>
        </w:rPr>
        <w:t xml:space="preserve"> devam eden riskler karşılığı, faaliyete başlanılmasını takip eden on ikinci ayın sonundan itibaren hesaplanır.”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4 –</w:t>
      </w:r>
      <w:r w:rsidRPr="00106154">
        <w:rPr>
          <w:rFonts w:ascii="Arial" w:eastAsia="Times New Roman" w:hAnsi="Arial" w:cs="Arial"/>
          <w:color w:val="auto"/>
          <w:sz w:val="20"/>
          <w:lang w:val="tr-TR"/>
        </w:rPr>
        <w:t xml:space="preserve"> Aynı Yönetmeliğin 7 </w:t>
      </w:r>
      <w:proofErr w:type="spellStart"/>
      <w:r w:rsidRPr="00106154">
        <w:rPr>
          <w:rFonts w:ascii="Arial" w:eastAsia="Times New Roman" w:hAnsi="Arial" w:cs="Arial"/>
          <w:color w:val="auto"/>
          <w:sz w:val="20"/>
          <w:lang w:val="tr-TR"/>
        </w:rPr>
        <w:t>nci</w:t>
      </w:r>
      <w:proofErr w:type="spellEnd"/>
      <w:r w:rsidRPr="00106154">
        <w:rPr>
          <w:rFonts w:ascii="Arial" w:eastAsia="Times New Roman" w:hAnsi="Arial" w:cs="Arial"/>
          <w:color w:val="auto"/>
          <w:sz w:val="20"/>
          <w:lang w:val="tr-TR"/>
        </w:rPr>
        <w:t xml:space="preserve"> maddesi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7 –</w:t>
      </w:r>
      <w:r w:rsidRPr="00106154">
        <w:rPr>
          <w:rFonts w:ascii="Arial" w:eastAsia="Times New Roman" w:hAnsi="Arial" w:cs="Arial"/>
          <w:color w:val="auto"/>
          <w:sz w:val="20"/>
          <w:lang w:val="tr-TR"/>
        </w:rPr>
        <w:t xml:space="preserve"> (1) Şirketler, tahakkuk etmiş ve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tespit edilmiş ancak daha önceki hesap dönemlerinde veya cari hesap döneminde fiilen ödenmemiş tazminat bedelleri veya bu bedel hesaplanamamış ise tahmini bedelleri ile gerçekleşmiş ancak rapor edilmemiş tazminat bedelleri için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 ayırmak zorundadır.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Tahakkuk etmiş ve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tespit edilmiş muallak tazminat karşılığının hesaplanması sırasında; hesaplanmış veya tahmin edilmiş </w:t>
      </w:r>
      <w:proofErr w:type="gramStart"/>
      <w:r w:rsidRPr="00106154">
        <w:rPr>
          <w:rFonts w:ascii="Arial" w:eastAsia="Times New Roman" w:hAnsi="Arial" w:cs="Arial"/>
          <w:color w:val="auto"/>
          <w:sz w:val="20"/>
          <w:lang w:val="tr-TR"/>
        </w:rPr>
        <w:t>eksper</w:t>
      </w:r>
      <w:proofErr w:type="gramEnd"/>
      <w:r w:rsidRPr="00106154">
        <w:rPr>
          <w:rFonts w:ascii="Arial" w:eastAsia="Times New Roman" w:hAnsi="Arial" w:cs="Arial"/>
          <w:color w:val="auto"/>
          <w:sz w:val="20"/>
          <w:lang w:val="tr-TR"/>
        </w:rPr>
        <w:t xml:space="preserve">, bilirkişi, danışman, dava ve haberleşme giderleri de dahil olmak üzere tazminat dosyalarının tekemmülü için gerekli tüm gider payları dikkate alınır ve ilgili hesaplamalarda </w:t>
      </w:r>
      <w:proofErr w:type="spellStart"/>
      <w:r w:rsidRPr="00106154">
        <w:rPr>
          <w:rFonts w:ascii="Arial" w:eastAsia="Times New Roman" w:hAnsi="Arial" w:cs="Arial"/>
          <w:color w:val="auto"/>
          <w:sz w:val="20"/>
          <w:lang w:val="tr-TR"/>
        </w:rPr>
        <w:t>rücu</w:t>
      </w:r>
      <w:proofErr w:type="spellEnd"/>
      <w:r w:rsidRPr="00106154">
        <w:rPr>
          <w:rFonts w:ascii="Arial" w:eastAsia="Times New Roman" w:hAnsi="Arial" w:cs="Arial"/>
          <w:color w:val="auto"/>
          <w:sz w:val="20"/>
          <w:lang w:val="tr-TR"/>
        </w:rPr>
        <w:t xml:space="preserve">, </w:t>
      </w:r>
      <w:proofErr w:type="spellStart"/>
      <w:r w:rsidRPr="00106154">
        <w:rPr>
          <w:rFonts w:ascii="Arial" w:eastAsia="Times New Roman" w:hAnsi="Arial" w:cs="Arial"/>
          <w:color w:val="auto"/>
          <w:sz w:val="20"/>
          <w:lang w:val="tr-TR"/>
        </w:rPr>
        <w:t>sovtaj</w:t>
      </w:r>
      <w:proofErr w:type="spellEnd"/>
      <w:r w:rsidRPr="00106154">
        <w:rPr>
          <w:rFonts w:ascii="Arial" w:eastAsia="Times New Roman" w:hAnsi="Arial" w:cs="Arial"/>
          <w:color w:val="auto"/>
          <w:sz w:val="20"/>
          <w:lang w:val="tr-TR"/>
        </w:rPr>
        <w:t xml:space="preserve"> ve benzeri gelir kalemleri tenzil edilemez. </w:t>
      </w:r>
      <w:proofErr w:type="spellStart"/>
      <w:r w:rsidRPr="00106154">
        <w:rPr>
          <w:rFonts w:ascii="Arial" w:eastAsia="Times New Roman" w:hAnsi="Arial" w:cs="Arial"/>
          <w:color w:val="auto"/>
          <w:sz w:val="20"/>
          <w:lang w:val="tr-TR"/>
        </w:rPr>
        <w:t>Halefiyet</w:t>
      </w:r>
      <w:proofErr w:type="spellEnd"/>
      <w:r w:rsidRPr="00106154">
        <w:rPr>
          <w:rFonts w:ascii="Arial" w:eastAsia="Times New Roman" w:hAnsi="Arial" w:cs="Arial"/>
          <w:color w:val="auto"/>
          <w:sz w:val="20"/>
          <w:lang w:val="tr-TR"/>
        </w:rPr>
        <w:t xml:space="preserve"> hakkının kazanılmış olması şartı </w:t>
      </w:r>
      <w:proofErr w:type="gramStart"/>
      <w:r w:rsidRPr="00106154">
        <w:rPr>
          <w:rFonts w:ascii="Arial" w:eastAsia="Times New Roman" w:hAnsi="Arial" w:cs="Arial"/>
          <w:color w:val="auto"/>
          <w:sz w:val="20"/>
          <w:lang w:val="tr-TR"/>
        </w:rPr>
        <w:t>ile  uygulama</w:t>
      </w:r>
      <w:proofErr w:type="gramEnd"/>
      <w:r w:rsidRPr="00106154">
        <w:rPr>
          <w:rFonts w:ascii="Arial" w:eastAsia="Times New Roman" w:hAnsi="Arial" w:cs="Arial"/>
          <w:color w:val="auto"/>
          <w:sz w:val="20"/>
          <w:lang w:val="tr-TR"/>
        </w:rPr>
        <w:t xml:space="preserve"> esasları Müsteşarlıkça belirlenecek olan tahakkuk etmiş </w:t>
      </w:r>
      <w:proofErr w:type="spellStart"/>
      <w:r w:rsidRPr="00106154">
        <w:rPr>
          <w:rFonts w:ascii="Arial" w:eastAsia="Times New Roman" w:hAnsi="Arial" w:cs="Arial"/>
          <w:color w:val="auto"/>
          <w:sz w:val="20"/>
          <w:lang w:val="tr-TR"/>
        </w:rPr>
        <w:t>rücu</w:t>
      </w:r>
      <w:proofErr w:type="spellEnd"/>
      <w:r w:rsidRPr="00106154">
        <w:rPr>
          <w:rFonts w:ascii="Arial" w:eastAsia="Times New Roman" w:hAnsi="Arial" w:cs="Arial"/>
          <w:color w:val="auto"/>
          <w:sz w:val="20"/>
          <w:lang w:val="tr-TR"/>
        </w:rPr>
        <w:t xml:space="preserve">, </w:t>
      </w:r>
      <w:proofErr w:type="spellStart"/>
      <w:r w:rsidRPr="00106154">
        <w:rPr>
          <w:rFonts w:ascii="Arial" w:eastAsia="Times New Roman" w:hAnsi="Arial" w:cs="Arial"/>
          <w:color w:val="auto"/>
          <w:sz w:val="20"/>
          <w:lang w:val="tr-TR"/>
        </w:rPr>
        <w:t>sovtaj</w:t>
      </w:r>
      <w:proofErr w:type="spellEnd"/>
      <w:r w:rsidRPr="00106154">
        <w:rPr>
          <w:rFonts w:ascii="Arial" w:eastAsia="Times New Roman" w:hAnsi="Arial" w:cs="Arial"/>
          <w:color w:val="auto"/>
          <w:sz w:val="20"/>
          <w:lang w:val="tr-TR"/>
        </w:rPr>
        <w:t xml:space="preserve"> ve benzeri gelir kalemleri bilançonun aktif tarafındaki ilgili alacak hesabının altında gösterilerek dönem geliri ile ilişkisi kurulur.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(3) Hayat branşı hariç olmak üzere, tahakkuk etmiş ve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tespit edilmiş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 ile içeriği ve uygulama esasları Müsteşarlıkça belirlenen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zincirleme merdiven yöntemleri kullanılarak bulunan tutar arasındaki fark gerçekleşmiş ancak rapor edilmemiş tazminat bedelidir. Reasürans şirketlerinin özel şartları dikkate alınarak, bu şirketlerin kullanacakları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zincirleme merdiven yönteminin içeriği ve hesaplanma aralığı ile ilgili olarak Müsteşarlık tarafından farklılaştırma yapılabilir.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(4) Müsteşarlık, </w:t>
      </w:r>
      <w:proofErr w:type="gramStart"/>
      <w:r w:rsidRPr="00106154">
        <w:rPr>
          <w:rFonts w:ascii="Arial" w:eastAsia="Times New Roman" w:hAnsi="Arial" w:cs="Arial"/>
          <w:color w:val="auto"/>
          <w:sz w:val="20"/>
          <w:lang w:val="tr-TR"/>
        </w:rPr>
        <w:t>branşlar</w:t>
      </w:r>
      <w:proofErr w:type="gramEnd"/>
      <w:r w:rsidRPr="00106154">
        <w:rPr>
          <w:rFonts w:ascii="Arial" w:eastAsia="Times New Roman" w:hAnsi="Arial" w:cs="Arial"/>
          <w:color w:val="auto"/>
          <w:sz w:val="20"/>
          <w:lang w:val="tr-TR"/>
        </w:rPr>
        <w:t xml:space="preserve"> veya şirketler itibariyle belirleyeceği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zincirleme merdiven yönteminin uygulanmasını isteyebilir. Şirketler her bir </w:t>
      </w:r>
      <w:proofErr w:type="gramStart"/>
      <w:r w:rsidRPr="00106154">
        <w:rPr>
          <w:rFonts w:ascii="Arial" w:eastAsia="Times New Roman" w:hAnsi="Arial" w:cs="Arial"/>
          <w:color w:val="auto"/>
          <w:sz w:val="20"/>
          <w:lang w:val="tr-TR"/>
        </w:rPr>
        <w:t>branş</w:t>
      </w:r>
      <w:proofErr w:type="gramEnd"/>
      <w:r w:rsidRPr="00106154">
        <w:rPr>
          <w:rFonts w:ascii="Arial" w:eastAsia="Times New Roman" w:hAnsi="Arial" w:cs="Arial"/>
          <w:color w:val="auto"/>
          <w:sz w:val="20"/>
          <w:lang w:val="tr-TR"/>
        </w:rPr>
        <w:t xml:space="preserve"> itibariyle kullanmakta oldukları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zincirleme merdiven yöntemini finansal tablolarının dipnotlarında açıklar.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lastRenderedPageBreak/>
        <w:t xml:space="preserve">  </w:t>
      </w:r>
      <w:r w:rsidRPr="00106154">
        <w:rPr>
          <w:rFonts w:ascii="Arial" w:eastAsia="Times New Roman" w:hAnsi="Arial" w:cs="Arial"/>
          <w:color w:val="auto"/>
          <w:sz w:val="20"/>
          <w:lang w:val="tr-TR"/>
        </w:rPr>
        <w:tab/>
        <w:t xml:space="preserve">(5) Hayat branşına ilişkin gerçekleşmiş ancak rapor edilmemiş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karşılığına ilişkin hesaplama esasları bu branşa ilişkin teminat tutarları dikkate alınacak şekilde Müsteşarlık tarafından belirlenir.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(6) Gerçekleşmiş ancak rapor edilmemiş tazminat bedellerinin test edilebilmesi için ayrı bir hesaplama yapılır. Bu hesaplama sırasında hesap dönemi sonu rakamları son 12 ayı kapsayacak şekilde brüt olarak dikkate alınır. Bu tarihlerden önce meydana gelmiş ancak bu tarihlerden sonra ihbar edilmiş tazminatlar, gerçekleşmiş ancak rapor edilmemiş tazminat bedelleri olarak kabul edilir. Gerçekleşmiş ancak rapor edilmemiş tazminat bedellerinin hesaplanması sırasında, sigorta ve reasürans şirketlerinin bu bedellerle ilgili olarak son 5 veya daha fazla yıllarda; bu </w:t>
      </w:r>
      <w:proofErr w:type="gramStart"/>
      <w:r w:rsidRPr="00106154">
        <w:rPr>
          <w:rFonts w:ascii="Arial" w:eastAsia="Times New Roman" w:hAnsi="Arial" w:cs="Arial"/>
          <w:color w:val="auto"/>
          <w:sz w:val="20"/>
          <w:lang w:val="tr-TR"/>
        </w:rPr>
        <w:t>tarihlerden  önce</w:t>
      </w:r>
      <w:proofErr w:type="gramEnd"/>
      <w:r w:rsidRPr="00106154">
        <w:rPr>
          <w:rFonts w:ascii="Arial" w:eastAsia="Times New Roman" w:hAnsi="Arial" w:cs="Arial"/>
          <w:color w:val="auto"/>
          <w:sz w:val="20"/>
          <w:lang w:val="tr-TR"/>
        </w:rPr>
        <w:t xml:space="preserve"> meydana gelmiş ancak sonrasından rapor edilmiş  tazminatların, bunlara  ilişkin </w:t>
      </w:r>
      <w:proofErr w:type="spellStart"/>
      <w:r w:rsidRPr="00106154">
        <w:rPr>
          <w:rFonts w:ascii="Arial" w:eastAsia="Times New Roman" w:hAnsi="Arial" w:cs="Arial"/>
          <w:color w:val="auto"/>
          <w:sz w:val="20"/>
          <w:lang w:val="tr-TR"/>
        </w:rPr>
        <w:t>rücu</w:t>
      </w:r>
      <w:proofErr w:type="spellEnd"/>
      <w:r w:rsidRPr="00106154">
        <w:rPr>
          <w:rFonts w:ascii="Arial" w:eastAsia="Times New Roman" w:hAnsi="Arial" w:cs="Arial"/>
          <w:color w:val="auto"/>
          <w:sz w:val="20"/>
          <w:lang w:val="tr-TR"/>
        </w:rPr>
        <w:t xml:space="preserve">, </w:t>
      </w:r>
      <w:proofErr w:type="spellStart"/>
      <w:r w:rsidRPr="00106154">
        <w:rPr>
          <w:rFonts w:ascii="Arial" w:eastAsia="Times New Roman" w:hAnsi="Arial" w:cs="Arial"/>
          <w:color w:val="auto"/>
          <w:sz w:val="20"/>
          <w:lang w:val="tr-TR"/>
        </w:rPr>
        <w:t>sovtaj</w:t>
      </w:r>
      <w:proofErr w:type="spellEnd"/>
      <w:r w:rsidRPr="00106154">
        <w:rPr>
          <w:rFonts w:ascii="Arial" w:eastAsia="Times New Roman" w:hAnsi="Arial" w:cs="Arial"/>
          <w:color w:val="auto"/>
          <w:sz w:val="20"/>
          <w:lang w:val="tr-TR"/>
        </w:rPr>
        <w:t xml:space="preserve"> ve benzeri gelir tahsilatlarının tenzil edilmesinden sonra kalan tutarlarının, söz konusu yıllara ilişkin prim üretimlerine bölünmesi suretiyle bulunan ağırlıklı ortalama dikkate alınır. Cari hesap dönemi için gerçekleşmiş ancak rapor edilmemiş tazminat bedeli, yukarıda belirtilen </w:t>
      </w:r>
      <w:proofErr w:type="gramStart"/>
      <w:r w:rsidRPr="00106154">
        <w:rPr>
          <w:rFonts w:ascii="Arial" w:eastAsia="Times New Roman" w:hAnsi="Arial" w:cs="Arial"/>
          <w:color w:val="auto"/>
          <w:sz w:val="20"/>
          <w:lang w:val="tr-TR"/>
        </w:rPr>
        <w:t>şekilde  hesaplanmış</w:t>
      </w:r>
      <w:proofErr w:type="gramEnd"/>
      <w:r w:rsidRPr="00106154">
        <w:rPr>
          <w:rFonts w:ascii="Arial" w:eastAsia="Times New Roman" w:hAnsi="Arial" w:cs="Arial"/>
          <w:color w:val="auto"/>
          <w:sz w:val="20"/>
          <w:lang w:val="tr-TR"/>
        </w:rPr>
        <w:t xml:space="preserve"> olan ağırlıklı ortalama  ile cari hesap döneminden önceki 12 aylık toplam brüt prim üretiminin çarpılması suretiyle bulunur.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(7) Bu test yapılırken, gerçekleşmiş ancak rapor edilmemiş tazminat bedellerinin prim üzerinden ve tüm </w:t>
      </w:r>
      <w:proofErr w:type="gramStart"/>
      <w:r w:rsidRPr="00106154">
        <w:rPr>
          <w:rFonts w:ascii="Arial" w:eastAsia="Times New Roman" w:hAnsi="Arial" w:cs="Arial"/>
          <w:color w:val="auto"/>
          <w:sz w:val="20"/>
          <w:lang w:val="tr-TR"/>
        </w:rPr>
        <w:t>branşlar  bazında</w:t>
      </w:r>
      <w:proofErr w:type="gramEnd"/>
      <w:r w:rsidRPr="00106154">
        <w:rPr>
          <w:rFonts w:ascii="Arial" w:eastAsia="Times New Roman" w:hAnsi="Arial" w:cs="Arial"/>
          <w:color w:val="auto"/>
          <w:sz w:val="20"/>
          <w:lang w:val="tr-TR"/>
        </w:rPr>
        <w:t xml:space="preserve"> hesaplanması gerekmektedir. Cari hesap dönemi veya daha önceki hesap dönemlerinde ihbar edilmiş olmakla birlikte cari hesap döneminde herhangi bir sebeple bu dönem muallaklarında bulunmayan ancak bir sonraki yıl yeniden işleme alınan muallak tazminata konu dosyalar da ilgili branşın gerçekleşmiş ancak rapor edilmemiş tazminat bedelleri hesaplarına </w:t>
      </w:r>
      <w:proofErr w:type="gramStart"/>
      <w:r w:rsidRPr="00106154">
        <w:rPr>
          <w:rFonts w:ascii="Arial" w:eastAsia="Times New Roman" w:hAnsi="Arial" w:cs="Arial"/>
          <w:color w:val="auto"/>
          <w:sz w:val="20"/>
          <w:lang w:val="tr-TR"/>
        </w:rPr>
        <w:t>dahil</w:t>
      </w:r>
      <w:proofErr w:type="gramEnd"/>
      <w:r w:rsidRPr="00106154">
        <w:rPr>
          <w:rFonts w:ascii="Arial" w:eastAsia="Times New Roman" w:hAnsi="Arial" w:cs="Arial"/>
          <w:color w:val="auto"/>
          <w:sz w:val="20"/>
          <w:lang w:val="tr-TR"/>
        </w:rPr>
        <w:t xml:space="preserve"> edilir.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(8) Test sonucunda bulunan tutar ile üçüncü fıkrada belirtilen şekilde bulunan tutar </w:t>
      </w:r>
      <w:proofErr w:type="gramStart"/>
      <w:r w:rsidRPr="00106154">
        <w:rPr>
          <w:rFonts w:ascii="Arial" w:eastAsia="Times New Roman" w:hAnsi="Arial" w:cs="Arial"/>
          <w:color w:val="auto"/>
          <w:sz w:val="20"/>
          <w:lang w:val="tr-TR"/>
        </w:rPr>
        <w:t>branşların</w:t>
      </w:r>
      <w:proofErr w:type="gramEnd"/>
      <w:r w:rsidRPr="00106154">
        <w:rPr>
          <w:rFonts w:ascii="Arial" w:eastAsia="Times New Roman" w:hAnsi="Arial" w:cs="Arial"/>
          <w:color w:val="auto"/>
          <w:sz w:val="20"/>
          <w:lang w:val="tr-TR"/>
        </w:rPr>
        <w:t xml:space="preserve"> toplamı itibariyle kıyaslanır ve hangi tutar daha büyük ise bu yöntemin her bir branşına ilişkin tutarları gerçekleşmiş ancak rapor edilmemiş tutar olarak finansal tablolara yansıtılır.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(9) Yeni faaliyete başlanan branşlara ilişkin hesaplamalarda, faaliyete başlandığı tarihten itibaren beş yıl boyunca şirket aktüeri tarafından yapılan hesaplamalara göre gerçekleşmiş ancak rapor edilmemiş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 ile muallak tazminat karşılığı yeterlilik farkı hesaplanır. Ayrıca, hasar dosya adedi olarak yetersiz olduğuna karar verildiği için aktüer tarafından büyük hasar ayıklaması yapılan </w:t>
      </w:r>
      <w:proofErr w:type="gramStart"/>
      <w:r w:rsidRPr="00106154">
        <w:rPr>
          <w:rFonts w:ascii="Arial" w:eastAsia="Times New Roman" w:hAnsi="Arial" w:cs="Arial"/>
          <w:color w:val="auto"/>
          <w:sz w:val="20"/>
          <w:lang w:val="tr-TR"/>
        </w:rPr>
        <w:t>branşlarda</w:t>
      </w:r>
      <w:proofErr w:type="gramEnd"/>
      <w:r w:rsidRPr="00106154">
        <w:rPr>
          <w:rFonts w:ascii="Arial" w:eastAsia="Times New Roman" w:hAnsi="Arial" w:cs="Arial"/>
          <w:color w:val="auto"/>
          <w:sz w:val="20"/>
          <w:lang w:val="tr-TR"/>
        </w:rPr>
        <w:t xml:space="preserve"> da, ayıklanan büyük hasarlar için yeterlilik farkı hesaplanacaktır.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(10) Yeni faaliyete başlanılan branşlar ile hasar adedi yetersizliği ile ilgili olarak aktüerler tarafından belirlenmiş muallak tazminat karşılıklarının yeterliliğinin ölçülmesi amacıyla, şirketler her hesap yılı sonunda branşlar itibarıyla brüt tutarlar üzerinden muallak tazminat karşılığı yeterlilik tablosunu Müsteşarlıkça belirlenen formatta düzenlemek ve hesap </w:t>
      </w:r>
      <w:proofErr w:type="gramStart"/>
      <w:r w:rsidRPr="00106154">
        <w:rPr>
          <w:rFonts w:ascii="Arial" w:eastAsia="Times New Roman" w:hAnsi="Arial" w:cs="Arial"/>
          <w:color w:val="auto"/>
          <w:sz w:val="20"/>
          <w:lang w:val="tr-TR"/>
        </w:rPr>
        <w:t>yılını  takip</w:t>
      </w:r>
      <w:proofErr w:type="gramEnd"/>
      <w:r w:rsidRPr="00106154">
        <w:rPr>
          <w:rFonts w:ascii="Arial" w:eastAsia="Times New Roman" w:hAnsi="Arial" w:cs="Arial"/>
          <w:color w:val="auto"/>
          <w:sz w:val="20"/>
          <w:lang w:val="tr-TR"/>
        </w:rPr>
        <w:t xml:space="preserve"> eden on hafta içerisinde Müsteşarlığa göndermek zorundadır.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(11) Her hesap yılı sonu itibariyle hazırlanacak bu tablo, şirketlerin ayırdığı muallak tazminat karşılığının, bu karşılıkların konusu olan dosyalara ilişkin olarak tüm gider payları da </w:t>
      </w:r>
      <w:proofErr w:type="gramStart"/>
      <w:r w:rsidRPr="00106154">
        <w:rPr>
          <w:rFonts w:ascii="Arial" w:eastAsia="Times New Roman" w:hAnsi="Arial" w:cs="Arial"/>
          <w:color w:val="auto"/>
          <w:sz w:val="20"/>
          <w:lang w:val="tr-TR"/>
        </w:rPr>
        <w:t>dahil</w:t>
      </w:r>
      <w:proofErr w:type="gramEnd"/>
      <w:r w:rsidRPr="00106154">
        <w:rPr>
          <w:rFonts w:ascii="Arial" w:eastAsia="Times New Roman" w:hAnsi="Arial" w:cs="Arial"/>
          <w:color w:val="auto"/>
          <w:sz w:val="20"/>
          <w:lang w:val="tr-TR"/>
        </w:rPr>
        <w:t xml:space="preserve"> olmak üzere fiilen ödemiş olduğu tazminat bedeli toplamına oranı olan muallak tazminat karşılığı yeterlilik oranını gösterir. Bu branşlara ilişkin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 yeterlilik oranının % 100’ün altında olması halinde, bu oran ile % 100 oranı arasındaki fark, cari yıl muallak tazminat karşılığı ile çarpılarak yeterlilik oranı fark tutarı bulunur. Yeterlilik oranı fark tutarı her bir </w:t>
      </w:r>
      <w:proofErr w:type="gramStart"/>
      <w:r w:rsidRPr="00106154">
        <w:rPr>
          <w:rFonts w:ascii="Arial" w:eastAsia="Times New Roman" w:hAnsi="Arial" w:cs="Arial"/>
          <w:color w:val="auto"/>
          <w:sz w:val="20"/>
          <w:lang w:val="tr-TR"/>
        </w:rPr>
        <w:t>branş</w:t>
      </w:r>
      <w:proofErr w:type="gramEnd"/>
      <w:r w:rsidRPr="00106154">
        <w:rPr>
          <w:rFonts w:ascii="Arial" w:eastAsia="Times New Roman" w:hAnsi="Arial" w:cs="Arial"/>
          <w:color w:val="auto"/>
          <w:sz w:val="20"/>
          <w:lang w:val="tr-TR"/>
        </w:rPr>
        <w:t xml:space="preserve"> için ayrı </w:t>
      </w:r>
      <w:proofErr w:type="spellStart"/>
      <w:r w:rsidRPr="00106154">
        <w:rPr>
          <w:rFonts w:ascii="Arial" w:eastAsia="Times New Roman" w:hAnsi="Arial" w:cs="Arial"/>
          <w:color w:val="auto"/>
          <w:sz w:val="20"/>
          <w:lang w:val="tr-TR"/>
        </w:rPr>
        <w:t>ayrı</w:t>
      </w:r>
      <w:proofErr w:type="spellEnd"/>
      <w:r w:rsidRPr="00106154">
        <w:rPr>
          <w:rFonts w:ascii="Arial" w:eastAsia="Times New Roman" w:hAnsi="Arial" w:cs="Arial"/>
          <w:color w:val="auto"/>
          <w:sz w:val="20"/>
          <w:lang w:val="tr-TR"/>
        </w:rPr>
        <w:t xml:space="preserve"> ilave edilerek cari yılda ayrılacak nihai muallak tazminat karşılığı hesaplanır.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(12) Yeterlilik tablosu düzenlemesi sırasında ve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karşılığı hesabında; tahakkuk etmiş ve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tespit edilmiş, gerçekleşmiş ancak rapor edilmemiş muallak tazminatlar ile tüm gider payları dikkate alınır.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(13) Muallak tazminat karşılığı </w:t>
      </w:r>
      <w:proofErr w:type="spellStart"/>
      <w:r w:rsidRPr="00106154">
        <w:rPr>
          <w:rFonts w:ascii="Arial" w:eastAsia="Times New Roman" w:hAnsi="Arial" w:cs="Arial"/>
          <w:color w:val="auto"/>
          <w:sz w:val="20"/>
          <w:lang w:val="tr-TR"/>
        </w:rPr>
        <w:t>reasürör</w:t>
      </w:r>
      <w:proofErr w:type="spellEnd"/>
      <w:r w:rsidRPr="00106154">
        <w:rPr>
          <w:rFonts w:ascii="Arial" w:eastAsia="Times New Roman" w:hAnsi="Arial" w:cs="Arial"/>
          <w:color w:val="auto"/>
          <w:sz w:val="20"/>
          <w:lang w:val="tr-TR"/>
        </w:rPr>
        <w:t xml:space="preserve"> tutarının hesabında, yürürlükte bulunan veya ilgili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anlaşmalarının şartları dikkate alınır.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(14) Şirketler ilk hasar ihbarı ile birlikte,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tutarları </w:t>
      </w:r>
      <w:proofErr w:type="spellStart"/>
      <w:r w:rsidRPr="00106154">
        <w:rPr>
          <w:rFonts w:ascii="Arial" w:eastAsia="Times New Roman" w:hAnsi="Arial" w:cs="Arial"/>
          <w:color w:val="auto"/>
          <w:sz w:val="20"/>
          <w:lang w:val="tr-TR"/>
        </w:rPr>
        <w:t>hesaben</w:t>
      </w:r>
      <w:proofErr w:type="spellEnd"/>
      <w:r w:rsidRPr="00106154">
        <w:rPr>
          <w:rFonts w:ascii="Arial" w:eastAsia="Times New Roman" w:hAnsi="Arial" w:cs="Arial"/>
          <w:color w:val="auto"/>
          <w:sz w:val="20"/>
          <w:lang w:val="tr-TR"/>
        </w:rPr>
        <w:t xml:space="preserve"> kesin olarak tespit edilmemiş ise, branşlar itibariyle ayırmış oldukları muallak tazminat tutarlarının son beş yıllık istatistiklere dayanan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hesaplama sonuçları üzerinden muallak tazminat tutarlarını tahakkuk ettirerek dosya açarlar ve elde edilen bilgilere bağlı olarak her hesap dönemi sonu itibarıyla güncelleyerek yeterli miktarda karşılık ayrılmamış dosyalar için ilave karşılık ayırır veya fazla ayrılan karşılıklar için indirim yaparlar.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(15) Muallak tazminat karşılığı tutarları ile gerçekleşmiş ancak rapor edilmemiş tazminat bedellerinin sözleşme bazında hesaplanması esas olmakla birlikte,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şirketlerinin sigorta şirketlerinden sözleşme bazında bilgi alamadığı durumlarda, reasürans şirketleri sigorta şirketleri tarafından kendilerine bildirilen verileri esas alabilirler.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lastRenderedPageBreak/>
        <w:t xml:space="preserve">  </w:t>
      </w:r>
      <w:r w:rsidRPr="00106154">
        <w:rPr>
          <w:rFonts w:ascii="Arial" w:eastAsia="Times New Roman" w:hAnsi="Arial" w:cs="Arial"/>
          <w:color w:val="auto"/>
          <w:sz w:val="20"/>
          <w:lang w:val="tr-TR"/>
        </w:rPr>
        <w:tab/>
        <w:t xml:space="preserve">(16) Tazminat bedelinin çek veya senet ile ödendiği durumlarda, çek veya senet tutarı ilgili banka tarafından sigortalıya ödeninceye kadar çek veya senet tutarı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tazminatlardan indirilemez.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(17) Dövize endeksli sigorta sözleşmelerine ilişkin tazminatlar öncelikle sözleşmede yazılı olan kurdan değerlenir. Sözleşmede ayrıca bir kur belirtilmemişse,  tazminatlar finansal tabloların düzenlendiği tarih itibariyle Türkiye Cumhuriyet Merkez Bankasının Resmî Gazete’de ilan ettiği döviz satış kurlarına göre değerlenir.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(18) Sigorta şirketinin anlaşmalı olduğu tamirhane ve servise sigorta şirketince ödeme yapılması suretiyle araçların tamir ettirilmesi durumunda, araç tamir edilerek tazminat alacaklısına karşı yükümlülük yerine getirilmiş olduğundan, bu durumdaki dosyalar sigortalıya ibraname imzalatılmasından veya aracın sigortalıya teslimine dair belge verilmesinden sonra muallak tazminat karşılıklarından çıkarılarak ödenen tazminatlar hesabına </w:t>
      </w:r>
      <w:proofErr w:type="gramStart"/>
      <w:r w:rsidRPr="00106154">
        <w:rPr>
          <w:rFonts w:ascii="Arial" w:eastAsia="Times New Roman" w:hAnsi="Arial" w:cs="Arial"/>
          <w:color w:val="auto"/>
          <w:sz w:val="20"/>
          <w:lang w:val="tr-TR"/>
        </w:rPr>
        <w:t>dahil</w:t>
      </w:r>
      <w:proofErr w:type="gramEnd"/>
      <w:r w:rsidRPr="00106154">
        <w:rPr>
          <w:rFonts w:ascii="Arial" w:eastAsia="Times New Roman" w:hAnsi="Arial" w:cs="Arial"/>
          <w:color w:val="auto"/>
          <w:sz w:val="20"/>
          <w:lang w:val="tr-TR"/>
        </w:rPr>
        <w:t xml:space="preserve"> edilir. Tamire ilişkin bedeller; tamirhane veya </w:t>
      </w:r>
      <w:proofErr w:type="gramStart"/>
      <w:r w:rsidRPr="00106154">
        <w:rPr>
          <w:rFonts w:ascii="Arial" w:eastAsia="Times New Roman" w:hAnsi="Arial" w:cs="Arial"/>
          <w:color w:val="auto"/>
          <w:sz w:val="20"/>
          <w:lang w:val="tr-TR"/>
        </w:rPr>
        <w:t>servise  ödeninceye</w:t>
      </w:r>
      <w:proofErr w:type="gramEnd"/>
      <w:r w:rsidRPr="00106154">
        <w:rPr>
          <w:rFonts w:ascii="Arial" w:eastAsia="Times New Roman" w:hAnsi="Arial" w:cs="Arial"/>
          <w:color w:val="auto"/>
          <w:sz w:val="20"/>
          <w:lang w:val="tr-TR"/>
        </w:rPr>
        <w:t xml:space="preserve"> kadar, ödenen tazminatlar hesabı karşılığında bilançonun pasif tarafındaki ayrı bir hesabın altında ilgili tamirhane veya servis hesabında izlenir. Ayrıca ilgili tamirhanenin veya servisin hesaplarında borçların hangi hesaplardan kaynaklandığı da gösterilir.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(19) Sigortalıların, sigorta şirketinin anlaşmalı olduğu sağlık kuruluşlarında bedeli sağlık kuruluşuna sigorta şirketince ödenmek suretiyle tedavi ettirilmesi durumunda, sigorta şirketi sigortalıya yükümlülüğünü yerine getirmiş olduğundan, tedavi giderlerinin sigorta şirketince ödenmesi beklenmeden bu durumdaki dosyalar sigortalıya ibraname imzalatılmasından veya fatura tutarına </w:t>
      </w:r>
      <w:proofErr w:type="gramStart"/>
      <w:r w:rsidRPr="00106154">
        <w:rPr>
          <w:rFonts w:ascii="Arial" w:eastAsia="Times New Roman" w:hAnsi="Arial" w:cs="Arial"/>
          <w:color w:val="auto"/>
          <w:sz w:val="20"/>
          <w:lang w:val="tr-TR"/>
        </w:rPr>
        <w:t>provizyon</w:t>
      </w:r>
      <w:proofErr w:type="gramEnd"/>
      <w:r w:rsidRPr="00106154">
        <w:rPr>
          <w:rFonts w:ascii="Arial" w:eastAsia="Times New Roman" w:hAnsi="Arial" w:cs="Arial"/>
          <w:color w:val="auto"/>
          <w:sz w:val="20"/>
          <w:lang w:val="tr-TR"/>
        </w:rPr>
        <w:t xml:space="preserve"> verilmesinden sonra muallak tazminat karşılığından çıkarılarak ödenen tazminatlar hesabına dahil edilmelidir. Tedavi bedelleri, sağlık kuruluşuna ödeninceye kadar, ödenen tazminatlar hesabı karşılığında bilançonun pasif tarafındaki ayrı bir hesabın altında ilgili sağlık </w:t>
      </w:r>
      <w:proofErr w:type="gramStart"/>
      <w:r w:rsidRPr="00106154">
        <w:rPr>
          <w:rFonts w:ascii="Arial" w:eastAsia="Times New Roman" w:hAnsi="Arial" w:cs="Arial"/>
          <w:color w:val="auto"/>
          <w:sz w:val="20"/>
          <w:lang w:val="tr-TR"/>
        </w:rPr>
        <w:t>kuruluşu  hesabında</w:t>
      </w:r>
      <w:proofErr w:type="gramEnd"/>
      <w:r w:rsidRPr="00106154">
        <w:rPr>
          <w:rFonts w:ascii="Arial" w:eastAsia="Times New Roman" w:hAnsi="Arial" w:cs="Arial"/>
          <w:color w:val="auto"/>
          <w:sz w:val="20"/>
          <w:lang w:val="tr-TR"/>
        </w:rPr>
        <w:t xml:space="preserve"> izlenir. Ayrıca ilgili sağlık kuruluşunun hesaplarında borçların hangi hesaplardan kaynaklandığı da gösterilir.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(20) Kazanma ve kaybetme ihtimali değerlendirilmeksizin, dava aşamasında olan hasarlar için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karşılık rakamı olarak öncelikle dava değeri esas alınır. Ancak, sigortalı tarafından talep edilen gecikme faizi, mahkeme masrafı ve avukatlık ücreti gibi masraf kalemleri haricindeki tazminatın sigorta sözleşmesi teminat limitlerini aşması durumunda, şirketler aşan kısmı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tutarlarından indirmelidir. Dava değerine rağmen bilirkişi raporu veya bilirkişi atanana kadar eksperin hazırlamış olduğu rapor, fatura gibi kesin kanıtlara dayanılarak tespit edilen tazminat tutarına dönem sonuna kadar işlemiş gecikme faizi, avukatlık ücreti gibi masrafları da ilave ederek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 karşılık tutarı belirlenir.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(21) Tazminat ödemesine konu olmayan ve tazminat alacaklıları tarafından da takip edilmeyen hasarlar, zamanaşımı süresinin dolmasını takiben </w:t>
      </w:r>
      <w:proofErr w:type="gramStart"/>
      <w:r w:rsidRPr="00106154">
        <w:rPr>
          <w:rFonts w:ascii="Arial" w:eastAsia="Times New Roman" w:hAnsi="Arial" w:cs="Arial"/>
          <w:color w:val="auto"/>
          <w:sz w:val="20"/>
          <w:lang w:val="tr-TR"/>
        </w:rPr>
        <w:t>muallak</w:t>
      </w:r>
      <w:proofErr w:type="gramEnd"/>
      <w:r w:rsidRPr="00106154">
        <w:rPr>
          <w:rFonts w:ascii="Arial" w:eastAsia="Times New Roman" w:hAnsi="Arial" w:cs="Arial"/>
          <w:color w:val="auto"/>
          <w:sz w:val="20"/>
          <w:lang w:val="tr-TR"/>
        </w:rPr>
        <w:t xml:space="preserve"> tazminatlar arasından çıkarılarak gelir kaydedilmelidir.”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5 –</w:t>
      </w:r>
      <w:r w:rsidRPr="00106154">
        <w:rPr>
          <w:rFonts w:ascii="Arial" w:eastAsia="Times New Roman" w:hAnsi="Arial" w:cs="Arial"/>
          <w:color w:val="auto"/>
          <w:sz w:val="20"/>
          <w:lang w:val="tr-TR"/>
        </w:rPr>
        <w:t xml:space="preserve"> Aynı Yönetmeliğin 8 inci maddesinin üçüncü fıkrasının (a) bendinin ikinci cümlesinde yer alan “onaylı” ibaresi yürürlükten kaldırılmıştır.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6 –</w:t>
      </w:r>
      <w:r w:rsidRPr="00106154">
        <w:rPr>
          <w:rFonts w:ascii="Arial" w:eastAsia="Times New Roman" w:hAnsi="Arial" w:cs="Arial"/>
          <w:color w:val="auto"/>
          <w:sz w:val="20"/>
          <w:lang w:val="tr-TR"/>
        </w:rPr>
        <w:t xml:space="preserve"> Aynı Yönetmeliğin 9 uncu maddesi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9 –</w:t>
      </w:r>
      <w:r w:rsidRPr="00106154">
        <w:rPr>
          <w:rFonts w:ascii="Arial" w:eastAsia="Times New Roman" w:hAnsi="Arial" w:cs="Arial"/>
          <w:color w:val="auto"/>
          <w:sz w:val="20"/>
          <w:lang w:val="tr-TR"/>
        </w:rPr>
        <w:t xml:space="preserve"> (1) Takip eden hesap dönemlerinde meydana gelebilecek tazminat oranlarındaki dalgalanmaları dengelemek ve </w:t>
      </w:r>
      <w:proofErr w:type="spellStart"/>
      <w:r w:rsidRPr="00106154">
        <w:rPr>
          <w:rFonts w:ascii="Arial" w:eastAsia="Times New Roman" w:hAnsi="Arial" w:cs="Arial"/>
          <w:color w:val="auto"/>
          <w:sz w:val="20"/>
          <w:lang w:val="tr-TR"/>
        </w:rPr>
        <w:t>katastrofik</w:t>
      </w:r>
      <w:proofErr w:type="spellEnd"/>
      <w:r w:rsidRPr="00106154">
        <w:rPr>
          <w:rFonts w:ascii="Arial" w:eastAsia="Times New Roman" w:hAnsi="Arial" w:cs="Arial"/>
          <w:color w:val="auto"/>
          <w:sz w:val="20"/>
          <w:lang w:val="tr-TR"/>
        </w:rPr>
        <w:t xml:space="preserve"> riskleri karşılamak üzere ek teminatlar da </w:t>
      </w:r>
      <w:proofErr w:type="gramStart"/>
      <w:r w:rsidRPr="00106154">
        <w:rPr>
          <w:rFonts w:ascii="Arial" w:eastAsia="Times New Roman" w:hAnsi="Arial" w:cs="Arial"/>
          <w:color w:val="auto"/>
          <w:sz w:val="20"/>
          <w:lang w:val="tr-TR"/>
        </w:rPr>
        <w:t>dahil</w:t>
      </w:r>
      <w:proofErr w:type="gramEnd"/>
      <w:r w:rsidRPr="00106154">
        <w:rPr>
          <w:rFonts w:ascii="Arial" w:eastAsia="Times New Roman" w:hAnsi="Arial" w:cs="Arial"/>
          <w:color w:val="auto"/>
          <w:sz w:val="20"/>
          <w:lang w:val="tr-TR"/>
        </w:rPr>
        <w:t xml:space="preserve"> olmak üzere tüm branşlarda verilen kredi ve deprem teminatları için ayrılan karşılıktır.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Bu karşılık her bir yıla tekabül eden deprem ve kredi net primlerinin %12’si oranında hesaplanır. Net primin hesaplanmasında, bölüşmesiz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 için ödenen tutarlar devredilen prim olarak telakki edilir. Birden fazla branşı kapsayan bölüşmesiz </w:t>
      </w:r>
      <w:proofErr w:type="gramStart"/>
      <w:r w:rsidRPr="00106154">
        <w:rPr>
          <w:rFonts w:ascii="Arial" w:eastAsia="Times New Roman" w:hAnsi="Arial" w:cs="Arial"/>
          <w:color w:val="auto"/>
          <w:sz w:val="20"/>
          <w:lang w:val="tr-TR"/>
        </w:rPr>
        <w:t>reasürans</w:t>
      </w:r>
      <w:proofErr w:type="gramEnd"/>
      <w:r w:rsidRPr="00106154">
        <w:rPr>
          <w:rFonts w:ascii="Arial" w:eastAsia="Times New Roman" w:hAnsi="Arial" w:cs="Arial"/>
          <w:color w:val="auto"/>
          <w:sz w:val="20"/>
          <w:lang w:val="tr-TR"/>
        </w:rPr>
        <w:t xml:space="preserve"> anlaşmalarında devredilen prim tutarının deprem ve kredi branşlarına isabet eden kısmı, şirket tarafından başka bir hesaplama yöntemi öngörülmemişse, bu branşların toplam prim tutarı içerisindeki ağırlıkları dikkate alınarak belirlenir.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(3) Reasürans şirketlerinin bölüşmeli ve bölüşmesiz esasta kabul ettikleri işlerde dengeleme karşılığı, her bir yıla tekabül eden deprem ve kredi net primlerinin % 12’si oranında hesaplanır. Reasürans şirketleri tarafından bölüşmesiz esasta kabul edilen işlerden sağlanan prim içindeki deprem ve kredi primi payı, bölüşmeli esasta kabul edilen işlerdeki deprem ve kredi prim payı nispetinde hesaplanır.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 xml:space="preserve"> </w:t>
      </w:r>
      <w:r w:rsidRPr="00106154">
        <w:rPr>
          <w:rFonts w:ascii="Arial" w:eastAsia="Times New Roman" w:hAnsi="Arial" w:cs="Arial"/>
          <w:color w:val="auto"/>
          <w:sz w:val="20"/>
          <w:lang w:val="tr-TR"/>
        </w:rPr>
        <w:tab/>
        <w:t xml:space="preserve">(4) Karşılık ayrılmasına son beş finansal yılda yazılan net primlerin en yüksek tutarının %150’sine ulaşılıncaya kadar devam edilir.  Beşinci yılın geçmesini müteakiben prim üretimi rakamına bağlı olarak karşılık rakamının bir önceki yılki bilançoda yer alan karşılık tutarına göre daha düşük çıkması durumunda aradaki fark </w:t>
      </w:r>
      <w:proofErr w:type="spellStart"/>
      <w:r w:rsidRPr="00106154">
        <w:rPr>
          <w:rFonts w:ascii="Arial" w:eastAsia="Times New Roman" w:hAnsi="Arial" w:cs="Arial"/>
          <w:color w:val="auto"/>
          <w:sz w:val="20"/>
          <w:lang w:val="tr-TR"/>
        </w:rPr>
        <w:t>özsermaye</w:t>
      </w:r>
      <w:proofErr w:type="spellEnd"/>
      <w:r w:rsidRPr="00106154">
        <w:rPr>
          <w:rFonts w:ascii="Arial" w:eastAsia="Times New Roman" w:hAnsi="Arial" w:cs="Arial"/>
          <w:color w:val="auto"/>
          <w:sz w:val="20"/>
          <w:lang w:val="tr-TR"/>
        </w:rPr>
        <w:t xml:space="preserve"> altında diğer kar yedekleri içerisinde gösterilir. </w:t>
      </w:r>
      <w:proofErr w:type="spellStart"/>
      <w:r w:rsidRPr="00106154">
        <w:rPr>
          <w:rFonts w:ascii="Arial" w:eastAsia="Times New Roman" w:hAnsi="Arial" w:cs="Arial"/>
          <w:color w:val="auto"/>
          <w:sz w:val="20"/>
          <w:lang w:val="tr-TR"/>
        </w:rPr>
        <w:t>Özsermayeye</w:t>
      </w:r>
      <w:proofErr w:type="spellEnd"/>
      <w:r w:rsidRPr="00106154">
        <w:rPr>
          <w:rFonts w:ascii="Arial" w:eastAsia="Times New Roman" w:hAnsi="Arial" w:cs="Arial"/>
          <w:color w:val="auto"/>
          <w:sz w:val="20"/>
          <w:lang w:val="tr-TR"/>
        </w:rPr>
        <w:t xml:space="preserve"> aktarılan bu tutar yedek olarak tutulabileceği gibi sermaye artırımına konu olabilir veya tazminat ödemelerinde kullanılabilir.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lastRenderedPageBreak/>
        <w:t xml:space="preserve"> </w:t>
      </w:r>
      <w:r w:rsidRPr="00106154">
        <w:rPr>
          <w:rFonts w:ascii="Arial" w:eastAsia="Times New Roman" w:hAnsi="Arial" w:cs="Arial"/>
          <w:color w:val="auto"/>
          <w:sz w:val="20"/>
          <w:lang w:val="tr-TR"/>
        </w:rPr>
        <w:tab/>
        <w:t xml:space="preserve">(5) Vefat teminatının verildiği hayat sigortalarında dengeleme karşılığının hesabı sırasında şirketler kendi istatistik verilerini kullanacaklardır. Gerekli hesaplamayı yapabilecek veri seti bulunmayan şirketler vefat net priminin %11’ini deprem primi kabul edecek ve bu tutarların %12’si oranında karşılık ayıracaklardır.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(6) Depremin meydana gelmesi veya kredi </w:t>
      </w:r>
      <w:proofErr w:type="gramStart"/>
      <w:r w:rsidRPr="00106154">
        <w:rPr>
          <w:rFonts w:ascii="Arial" w:eastAsia="Times New Roman" w:hAnsi="Arial" w:cs="Arial"/>
          <w:color w:val="auto"/>
          <w:sz w:val="20"/>
          <w:lang w:val="tr-TR"/>
        </w:rPr>
        <w:t>branşında</w:t>
      </w:r>
      <w:proofErr w:type="gramEnd"/>
      <w:r w:rsidRPr="00106154">
        <w:rPr>
          <w:rFonts w:ascii="Arial" w:eastAsia="Times New Roman" w:hAnsi="Arial" w:cs="Arial"/>
          <w:color w:val="auto"/>
          <w:sz w:val="20"/>
          <w:lang w:val="tr-TR"/>
        </w:rPr>
        <w:t xml:space="preserve"> ilgili finansal yılda teknik zarar gerçekleşmesi durumunda, kredi ve deprem teminatları için ayrılan karşılıklar tazminat ödemelerinde kullanılabilir. Hasarın meydana gelmesi durumunda, </w:t>
      </w:r>
      <w:proofErr w:type="spellStart"/>
      <w:r w:rsidRPr="00106154">
        <w:rPr>
          <w:rFonts w:ascii="Arial" w:eastAsia="Times New Roman" w:hAnsi="Arial" w:cs="Arial"/>
          <w:color w:val="auto"/>
          <w:sz w:val="20"/>
          <w:lang w:val="tr-TR"/>
        </w:rPr>
        <w:t>reasüröre</w:t>
      </w:r>
      <w:proofErr w:type="spellEnd"/>
      <w:r w:rsidRPr="00106154">
        <w:rPr>
          <w:rFonts w:ascii="Arial" w:eastAsia="Times New Roman" w:hAnsi="Arial" w:cs="Arial"/>
          <w:color w:val="auto"/>
          <w:sz w:val="20"/>
          <w:lang w:val="tr-TR"/>
        </w:rPr>
        <w:t xml:space="preserve"> isabet eden miktarlar ile sözleşmede belirtilen muafiyet limitinin altında kalan miktarlar dengeleme karşılıklarından indirilemez.”</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7 –</w:t>
      </w:r>
      <w:r w:rsidRPr="00106154">
        <w:rPr>
          <w:rFonts w:ascii="Arial" w:eastAsia="Times New Roman" w:hAnsi="Arial" w:cs="Arial"/>
          <w:color w:val="auto"/>
          <w:sz w:val="20"/>
          <w:lang w:val="tr-TR"/>
        </w:rPr>
        <w:t xml:space="preserve"> Aynı Yönetmeliğin 10 uncu maddesi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 xml:space="preserve">“MADDE 10 – </w:t>
      </w:r>
      <w:r w:rsidRPr="00106154">
        <w:rPr>
          <w:rFonts w:ascii="Arial" w:eastAsia="Times New Roman" w:hAnsi="Arial" w:cs="Arial"/>
          <w:color w:val="auto"/>
          <w:sz w:val="20"/>
          <w:lang w:val="tr-TR"/>
        </w:rPr>
        <w:t xml:space="preserve">(1) İkramiye ve indirimler karşılığı, cari dönemde yaşayan poliçelere ilişkin olarak sigortalıya müteakip dönemlerde yenilemeye bağlı olmaksızın bir ikramiye veya indirim taahhüdünde bulunulduğu takdirde ayrılması gereken karşılıktır. Sigorta şirketlerinin ikramiye ve indirim uygulamasına gitmesi durumunda, cari yılın teknik sonuçlarına göre sigortalılar ve </w:t>
      </w:r>
      <w:proofErr w:type="spellStart"/>
      <w:r w:rsidRPr="00106154">
        <w:rPr>
          <w:rFonts w:ascii="Arial" w:eastAsia="Times New Roman" w:hAnsi="Arial" w:cs="Arial"/>
          <w:color w:val="auto"/>
          <w:sz w:val="20"/>
          <w:lang w:val="tr-TR"/>
        </w:rPr>
        <w:t>lehdarlar</w:t>
      </w:r>
      <w:proofErr w:type="spellEnd"/>
      <w:r w:rsidRPr="00106154">
        <w:rPr>
          <w:rFonts w:ascii="Arial" w:eastAsia="Times New Roman" w:hAnsi="Arial" w:cs="Arial"/>
          <w:color w:val="auto"/>
          <w:sz w:val="20"/>
          <w:lang w:val="tr-TR"/>
        </w:rPr>
        <w:t xml:space="preserve"> için ayrılan ikramiye ve indirim tutarlarından oluşur.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İkramiyeler ve indirimler cari hesap dönemi içinde </w:t>
      </w:r>
      <w:proofErr w:type="spellStart"/>
      <w:r w:rsidRPr="00106154">
        <w:rPr>
          <w:rFonts w:ascii="Arial" w:eastAsia="Times New Roman" w:hAnsi="Arial" w:cs="Arial"/>
          <w:color w:val="auto"/>
          <w:sz w:val="20"/>
          <w:lang w:val="tr-TR"/>
        </w:rPr>
        <w:t>lehdar</w:t>
      </w:r>
      <w:proofErr w:type="spellEnd"/>
      <w:r w:rsidRPr="00106154">
        <w:rPr>
          <w:rFonts w:ascii="Arial" w:eastAsia="Times New Roman" w:hAnsi="Arial" w:cs="Arial"/>
          <w:color w:val="auto"/>
          <w:sz w:val="20"/>
          <w:lang w:val="tr-TR"/>
        </w:rPr>
        <w:t xml:space="preserve"> veya sigortalının lehine tahakkuk etmiş ve ödenmiş ya da ödenecek tüm tutarları kapsar. Bu ödeme sigortalının ilerideki primlerinden indirim yapılması veya matematik karşılıklarında artırım yapılması şeklinde gerçekleştirilir. Şirketler, taahhütte bulundukları ikramiye ve indirim tutarlarını sözleşmede belirtmek zorundadırlar.”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8 –</w:t>
      </w:r>
      <w:r w:rsidRPr="00106154">
        <w:rPr>
          <w:rFonts w:ascii="Arial" w:eastAsia="Times New Roman" w:hAnsi="Arial" w:cs="Arial"/>
          <w:color w:val="auto"/>
          <w:sz w:val="20"/>
          <w:lang w:val="tr-TR"/>
        </w:rPr>
        <w:t xml:space="preserve"> Aynı Yönetmeliğin 13 üncü maddesinin birinci fıkrasının (ğ) bendi aşağıdaki şekilde değiştirilmiştir.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proofErr w:type="gramStart"/>
      <w:r w:rsidRPr="00106154">
        <w:rPr>
          <w:rFonts w:ascii="Arial" w:eastAsia="Times New Roman" w:hAnsi="Arial" w:cs="Arial"/>
          <w:color w:val="auto"/>
          <w:sz w:val="20"/>
          <w:lang w:val="tr-TR"/>
        </w:rPr>
        <w:t>“ğ) Poliçe mukabili ikrazlar ile sigorta sözleşmesi tutarının tamamına ilişkin olarak, sigorta sözleşmesinin düzenlenmesi aşamasında, bankalarca ödeme garantisi verilen kredi kartı hesapları hariç ve alacaklar için teminat olarak verilmiş hazine bonosu, devlet tahvili, mevduat, nakit ve dövizler tenzil edilmiş olmak üzere, aracılık yapan bankalardan olan alacaklar hariç, esas faaliyetlerden alacakların brüt teknik karşılıkların %25’ini aşan kısmı,”</w:t>
      </w:r>
      <w:proofErr w:type="gramEnd"/>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9 –</w:t>
      </w:r>
      <w:r w:rsidRPr="00106154">
        <w:rPr>
          <w:rFonts w:ascii="Arial" w:eastAsia="Times New Roman" w:hAnsi="Arial" w:cs="Arial"/>
          <w:color w:val="auto"/>
          <w:sz w:val="20"/>
          <w:lang w:val="tr-TR"/>
        </w:rPr>
        <w:t xml:space="preserve"> Aynı Yönetmeliğin 15 inci maddesi başlığı ile birlikte aşağıdaki şekilde değiştirilmiştir. </w:t>
      </w:r>
    </w:p>
    <w:p w:rsidR="00106154" w:rsidRPr="00106154" w:rsidRDefault="00106154" w:rsidP="00106154">
      <w:pPr>
        <w:tabs>
          <w:tab w:val="left" w:pos="566"/>
        </w:tabs>
        <w:spacing w:after="0" w:line="240" w:lineRule="exact"/>
        <w:jc w:val="both"/>
        <w:rPr>
          <w:rFonts w:ascii="Arial" w:eastAsia="Times New Roman" w:hAnsi="Arial" w:cs="Arial"/>
          <w:b/>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“Gözetim ve stres testi yapılması</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b/>
          <w:color w:val="auto"/>
          <w:sz w:val="20"/>
          <w:lang w:val="tr-TR"/>
        </w:rPr>
        <w:tab/>
        <w:t>MADDE 15 –</w:t>
      </w:r>
      <w:r w:rsidRPr="00106154">
        <w:rPr>
          <w:rFonts w:ascii="Arial" w:eastAsia="Times New Roman" w:hAnsi="Arial" w:cs="Arial"/>
          <w:color w:val="auto"/>
          <w:sz w:val="20"/>
          <w:lang w:val="tr-TR"/>
        </w:rPr>
        <w:t xml:space="preserve"> (1) Şirketler teknik karşılıklarına ve bu karşılıkların yatırıldığı varlıklara ilişkin bilgi ve belgeler ile tablolarını, belirlenen süreler içerisinde, gözetim amacıyla Müsteşarlığa gönderir. </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t xml:space="preserve">(2) Teknik karşılıklarının yeterliliklerinin tespit edilmesi de </w:t>
      </w:r>
      <w:proofErr w:type="gramStart"/>
      <w:r w:rsidRPr="00106154">
        <w:rPr>
          <w:rFonts w:ascii="Arial" w:eastAsia="Times New Roman" w:hAnsi="Arial" w:cs="Arial"/>
          <w:color w:val="auto"/>
          <w:sz w:val="20"/>
          <w:lang w:val="tr-TR"/>
        </w:rPr>
        <w:t>dahil</w:t>
      </w:r>
      <w:proofErr w:type="gramEnd"/>
      <w:r w:rsidRPr="00106154">
        <w:rPr>
          <w:rFonts w:ascii="Arial" w:eastAsia="Times New Roman" w:hAnsi="Arial" w:cs="Arial"/>
          <w:color w:val="auto"/>
          <w:sz w:val="20"/>
          <w:lang w:val="tr-TR"/>
        </w:rPr>
        <w:t xml:space="preserve"> olmak üzere, şirketin mali yeterliliğin belirlenebilmesini </w:t>
      </w:r>
      <w:proofErr w:type="spellStart"/>
      <w:r w:rsidRPr="00106154">
        <w:rPr>
          <w:rFonts w:ascii="Arial" w:eastAsia="Times New Roman" w:hAnsi="Arial" w:cs="Arial"/>
          <w:color w:val="auto"/>
          <w:sz w:val="20"/>
          <w:lang w:val="tr-TR"/>
        </w:rPr>
        <w:t>teminen</w:t>
      </w:r>
      <w:proofErr w:type="spellEnd"/>
      <w:r w:rsidRPr="00106154">
        <w:rPr>
          <w:rFonts w:ascii="Arial" w:eastAsia="Times New Roman" w:hAnsi="Arial" w:cs="Arial"/>
          <w:color w:val="auto"/>
          <w:sz w:val="20"/>
          <w:lang w:val="tr-TR"/>
        </w:rPr>
        <w:t xml:space="preserve"> yazım riskine, </w:t>
      </w:r>
      <w:proofErr w:type="spellStart"/>
      <w:r w:rsidRPr="00106154">
        <w:rPr>
          <w:rFonts w:ascii="Arial" w:eastAsia="Times New Roman" w:hAnsi="Arial" w:cs="Arial"/>
          <w:color w:val="auto"/>
          <w:sz w:val="20"/>
          <w:lang w:val="tr-TR"/>
        </w:rPr>
        <w:t>katastrofik</w:t>
      </w:r>
      <w:proofErr w:type="spellEnd"/>
      <w:r w:rsidRPr="00106154">
        <w:rPr>
          <w:rFonts w:ascii="Arial" w:eastAsia="Times New Roman" w:hAnsi="Arial" w:cs="Arial"/>
          <w:color w:val="auto"/>
          <w:sz w:val="20"/>
          <w:lang w:val="tr-TR"/>
        </w:rPr>
        <w:t xml:space="preserve"> risklere, faiz, döviz, menkul kıymetler, kredi ve likidite risklerine ilişkin olarak Müsteşarlık şirketler tarafından stres testi yapılmasını talep edebilir.”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10 –</w:t>
      </w:r>
      <w:r w:rsidRPr="00106154">
        <w:rPr>
          <w:rFonts w:ascii="Arial" w:eastAsia="Times New Roman" w:hAnsi="Arial" w:cs="Arial"/>
          <w:color w:val="auto"/>
          <w:sz w:val="20"/>
          <w:lang w:val="tr-TR"/>
        </w:rPr>
        <w:t xml:space="preserve"> Aynı Yönetmeliğin geçici ikinci maddesinden sonra gelmek üzere aşağıdaki geçici 3 üncü madde eklenmiştir.</w:t>
      </w:r>
    </w:p>
    <w:p w:rsidR="00106154" w:rsidRPr="00106154" w:rsidRDefault="00106154" w:rsidP="00106154">
      <w:pPr>
        <w:tabs>
          <w:tab w:val="left" w:pos="566"/>
        </w:tabs>
        <w:spacing w:after="0" w:line="240" w:lineRule="exact"/>
        <w:jc w:val="both"/>
        <w:rPr>
          <w:rFonts w:ascii="Arial" w:eastAsia="Times New Roman" w:hAnsi="Arial" w:cs="Arial"/>
          <w:b/>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“2010 ve 2011 yılları için aşamalı yükümlülük seviyesi</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b/>
          <w:color w:val="auto"/>
          <w:sz w:val="20"/>
          <w:lang w:val="tr-TR"/>
        </w:rPr>
        <w:tab/>
        <w:t>GEÇİCİ MADDE 3 –</w:t>
      </w:r>
      <w:r w:rsidRPr="00106154">
        <w:rPr>
          <w:rFonts w:ascii="Arial" w:eastAsia="Times New Roman" w:hAnsi="Arial" w:cs="Arial"/>
          <w:color w:val="auto"/>
          <w:sz w:val="20"/>
          <w:lang w:val="tr-TR"/>
        </w:rPr>
        <w:t xml:space="preserve"> (1) Bu Yönetmeliğin 7 </w:t>
      </w:r>
      <w:proofErr w:type="spellStart"/>
      <w:r w:rsidRPr="00106154">
        <w:rPr>
          <w:rFonts w:ascii="Arial" w:eastAsia="Times New Roman" w:hAnsi="Arial" w:cs="Arial"/>
          <w:color w:val="auto"/>
          <w:sz w:val="20"/>
          <w:lang w:val="tr-TR"/>
        </w:rPr>
        <w:t>nci</w:t>
      </w:r>
      <w:proofErr w:type="spellEnd"/>
      <w:r w:rsidRPr="00106154">
        <w:rPr>
          <w:rFonts w:ascii="Arial" w:eastAsia="Times New Roman" w:hAnsi="Arial" w:cs="Arial"/>
          <w:color w:val="auto"/>
          <w:sz w:val="20"/>
          <w:lang w:val="tr-TR"/>
        </w:rPr>
        <w:t xml:space="preserve"> maddesinin dördüncü fıkrasında belirtilen </w:t>
      </w:r>
      <w:proofErr w:type="spellStart"/>
      <w:r w:rsidRPr="00106154">
        <w:rPr>
          <w:rFonts w:ascii="Arial" w:eastAsia="Times New Roman" w:hAnsi="Arial" w:cs="Arial"/>
          <w:color w:val="auto"/>
          <w:sz w:val="20"/>
          <w:lang w:val="tr-TR"/>
        </w:rPr>
        <w:t>aktüeryal</w:t>
      </w:r>
      <w:proofErr w:type="spellEnd"/>
      <w:r w:rsidRPr="00106154">
        <w:rPr>
          <w:rFonts w:ascii="Arial" w:eastAsia="Times New Roman" w:hAnsi="Arial" w:cs="Arial"/>
          <w:color w:val="auto"/>
          <w:sz w:val="20"/>
          <w:lang w:val="tr-TR"/>
        </w:rPr>
        <w:t xml:space="preserve"> zincirleme merdiven metoduna istinaden bulunan tutar; 2010 yılı hesaplamalarında en az %80, 2011 yılı hesaplamalarında en az %90 oranında dikkate alınabilir. Şirketler, finansal tablolarının dipnotlarında, hangi oranda hesaplama yapıldığını açıklamak zorundadır.”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11 –</w:t>
      </w:r>
      <w:r w:rsidRPr="00106154">
        <w:rPr>
          <w:rFonts w:ascii="Arial" w:eastAsia="Times New Roman" w:hAnsi="Arial" w:cs="Arial"/>
          <w:color w:val="auto"/>
          <w:sz w:val="20"/>
          <w:lang w:val="tr-TR"/>
        </w:rPr>
        <w:t xml:space="preserve"> Bu Yönetmelik 30 Eylül 2010 tarihinden itibaren geçerli olmak üzere yayımı tarihinde yürürlüğe girer.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r w:rsidRPr="00106154">
        <w:rPr>
          <w:rFonts w:ascii="Arial" w:eastAsia="Times New Roman" w:hAnsi="Arial" w:cs="Arial"/>
          <w:color w:val="auto"/>
          <w:sz w:val="20"/>
          <w:lang w:val="tr-TR"/>
        </w:rPr>
        <w:tab/>
      </w:r>
      <w:r w:rsidRPr="00106154">
        <w:rPr>
          <w:rFonts w:ascii="Arial" w:eastAsia="Times New Roman" w:hAnsi="Arial" w:cs="Arial"/>
          <w:b/>
          <w:color w:val="auto"/>
          <w:sz w:val="20"/>
          <w:lang w:val="tr-TR"/>
        </w:rPr>
        <w:t>MADDE 12 –</w:t>
      </w:r>
      <w:r w:rsidRPr="00106154">
        <w:rPr>
          <w:rFonts w:ascii="Arial" w:eastAsia="Times New Roman" w:hAnsi="Arial" w:cs="Arial"/>
          <w:color w:val="auto"/>
          <w:sz w:val="20"/>
          <w:lang w:val="tr-TR"/>
        </w:rPr>
        <w:t xml:space="preserve"> Bu Yönetmelik hükümlerini Hazine Müsteşarlığının bağlı bulunduğu Bakan yürütür.</w:t>
      </w:r>
    </w:p>
    <w:p w:rsidR="00106154" w:rsidRPr="00106154" w:rsidRDefault="00106154" w:rsidP="00106154">
      <w:pPr>
        <w:tabs>
          <w:tab w:val="left" w:pos="566"/>
        </w:tabs>
        <w:spacing w:after="0" w:line="240" w:lineRule="exact"/>
        <w:jc w:val="both"/>
        <w:rPr>
          <w:rFonts w:ascii="Arial" w:eastAsia="Times New Roman" w:hAnsi="Arial" w:cs="Arial"/>
          <w:color w:val="auto"/>
          <w:sz w:val="20"/>
          <w:lang w:val="tr-TR"/>
        </w:rPr>
      </w:pPr>
    </w:p>
    <w:p w:rsidR="006A022C" w:rsidRPr="00106154" w:rsidRDefault="00106154" w:rsidP="006A022C">
      <w:pPr>
        <w:spacing w:after="0" w:line="240" w:lineRule="auto"/>
        <w:rPr>
          <w:rFonts w:ascii="Arial" w:eastAsia="Times New Roman" w:hAnsi="Arial" w:cs="Arial"/>
          <w:color w:val="auto"/>
          <w:sz w:val="20"/>
          <w:lang w:val="en-GB" w:eastAsia="tr-TR"/>
        </w:rPr>
      </w:pPr>
      <w:proofErr w:type="spellStart"/>
      <w:r w:rsidRPr="00106154">
        <w:rPr>
          <w:rFonts w:ascii="Arial" w:eastAsia="Times New Roman" w:hAnsi="Arial" w:cs="Arial"/>
          <w:b/>
          <w:color w:val="auto"/>
          <w:sz w:val="20"/>
          <w:lang w:val="en-GB" w:eastAsia="tr-TR"/>
        </w:rPr>
        <w:t>Yönetmeliğin</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Yayımlandığı</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Resmî</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Gazete’nin</w:t>
      </w:r>
      <w:proofErr w:type="spellEnd"/>
      <w:r w:rsidR="006A022C">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Tarihi</w:t>
      </w:r>
      <w:proofErr w:type="spellEnd"/>
      <w:r w:rsidR="006A022C">
        <w:rPr>
          <w:rFonts w:ascii="Arial" w:eastAsia="Times New Roman" w:hAnsi="Arial" w:cs="Arial"/>
          <w:b/>
          <w:color w:val="auto"/>
          <w:sz w:val="20"/>
          <w:lang w:val="en-GB" w:eastAsia="tr-TR"/>
        </w:rPr>
        <w:t xml:space="preserve"> </w:t>
      </w:r>
      <w:r w:rsidR="006A022C" w:rsidRPr="00106154">
        <w:rPr>
          <w:rFonts w:ascii="Arial" w:eastAsia="Times New Roman" w:hAnsi="Arial" w:cs="Arial"/>
          <w:color w:val="auto"/>
          <w:sz w:val="20"/>
          <w:lang w:val="en-GB" w:eastAsia="tr-TR"/>
        </w:rPr>
        <w:t>7/8/2007</w:t>
      </w:r>
    </w:p>
    <w:p w:rsidR="006A022C" w:rsidRPr="00106154" w:rsidRDefault="00106154" w:rsidP="006A022C">
      <w:pPr>
        <w:spacing w:after="0" w:line="240" w:lineRule="auto"/>
        <w:rPr>
          <w:rFonts w:ascii="Arial" w:eastAsia="Times New Roman" w:hAnsi="Arial" w:cs="Arial"/>
          <w:color w:val="auto"/>
          <w:sz w:val="20"/>
          <w:lang w:val="en-GB" w:eastAsia="tr-TR"/>
        </w:rPr>
      </w:pPr>
      <w:proofErr w:type="spellStart"/>
      <w:r w:rsidRPr="00106154">
        <w:rPr>
          <w:rFonts w:ascii="Arial" w:eastAsia="Times New Roman" w:hAnsi="Arial" w:cs="Arial"/>
          <w:b/>
          <w:color w:val="auto"/>
          <w:sz w:val="20"/>
          <w:lang w:val="en-GB" w:eastAsia="tr-TR"/>
        </w:rPr>
        <w:t>Sayısı</w:t>
      </w:r>
      <w:proofErr w:type="spellEnd"/>
      <w:r w:rsidR="006A022C">
        <w:rPr>
          <w:rFonts w:ascii="Arial" w:eastAsia="Times New Roman" w:hAnsi="Arial" w:cs="Arial"/>
          <w:b/>
          <w:color w:val="auto"/>
          <w:sz w:val="20"/>
          <w:lang w:val="en-GB" w:eastAsia="tr-TR"/>
        </w:rPr>
        <w:t xml:space="preserve"> </w:t>
      </w:r>
      <w:r w:rsidR="006A022C" w:rsidRPr="00106154">
        <w:rPr>
          <w:rFonts w:ascii="Arial" w:eastAsia="Times New Roman" w:hAnsi="Arial" w:cs="Arial"/>
          <w:color w:val="auto"/>
          <w:sz w:val="20"/>
          <w:lang w:val="en-GB" w:eastAsia="tr-TR"/>
        </w:rPr>
        <w:t>26606</w:t>
      </w:r>
    </w:p>
    <w:p w:rsidR="00106154" w:rsidRPr="00106154" w:rsidRDefault="00106154" w:rsidP="006A022C">
      <w:pPr>
        <w:spacing w:after="0" w:line="240" w:lineRule="auto"/>
        <w:rPr>
          <w:rFonts w:ascii="Arial" w:eastAsia="Times New Roman" w:hAnsi="Arial" w:cs="Arial"/>
          <w:b/>
          <w:color w:val="auto"/>
          <w:sz w:val="20"/>
          <w:lang w:val="en-GB" w:eastAsia="tr-TR"/>
        </w:rPr>
      </w:pPr>
    </w:p>
    <w:p w:rsidR="006A022C" w:rsidRPr="00106154" w:rsidRDefault="00106154" w:rsidP="006A022C">
      <w:pPr>
        <w:spacing w:after="0" w:line="240" w:lineRule="auto"/>
        <w:rPr>
          <w:rFonts w:ascii="Arial" w:eastAsia="Times New Roman" w:hAnsi="Arial" w:cs="Arial"/>
          <w:color w:val="auto"/>
          <w:sz w:val="20"/>
          <w:lang w:val="en-GB" w:eastAsia="tr-TR"/>
        </w:rPr>
      </w:pPr>
      <w:proofErr w:type="spellStart"/>
      <w:r w:rsidRPr="00106154">
        <w:rPr>
          <w:rFonts w:ascii="Arial" w:eastAsia="Times New Roman" w:hAnsi="Arial" w:cs="Arial"/>
          <w:b/>
          <w:color w:val="auto"/>
          <w:sz w:val="20"/>
          <w:lang w:val="en-GB" w:eastAsia="tr-TR"/>
        </w:rPr>
        <w:t>Yönetmelikte</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Değişiklik</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Yapan</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Yönetmeliğin</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Yayımlandığı</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Resmî</w:t>
      </w:r>
      <w:proofErr w:type="spellEnd"/>
      <w:r w:rsidRPr="00106154">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Gazete’nin</w:t>
      </w:r>
      <w:proofErr w:type="spellEnd"/>
      <w:r w:rsidR="006A022C">
        <w:rPr>
          <w:rFonts w:ascii="Arial" w:eastAsia="Times New Roman" w:hAnsi="Arial" w:cs="Arial"/>
          <w:b/>
          <w:color w:val="auto"/>
          <w:sz w:val="20"/>
          <w:lang w:val="en-GB" w:eastAsia="tr-TR"/>
        </w:rPr>
        <w:t xml:space="preserve"> </w:t>
      </w:r>
      <w:proofErr w:type="spellStart"/>
      <w:r w:rsidRPr="00106154">
        <w:rPr>
          <w:rFonts w:ascii="Arial" w:eastAsia="Times New Roman" w:hAnsi="Arial" w:cs="Arial"/>
          <w:b/>
          <w:color w:val="auto"/>
          <w:sz w:val="20"/>
          <w:lang w:val="en-GB" w:eastAsia="tr-TR"/>
        </w:rPr>
        <w:t>Tarihi</w:t>
      </w:r>
      <w:proofErr w:type="spellEnd"/>
      <w:r w:rsidR="006A022C">
        <w:rPr>
          <w:rFonts w:ascii="Arial" w:eastAsia="Times New Roman" w:hAnsi="Arial" w:cs="Arial"/>
          <w:b/>
          <w:color w:val="auto"/>
          <w:sz w:val="20"/>
          <w:lang w:val="en-GB" w:eastAsia="tr-TR"/>
        </w:rPr>
        <w:t xml:space="preserve"> </w:t>
      </w:r>
      <w:r w:rsidR="006A022C" w:rsidRPr="00106154">
        <w:rPr>
          <w:rFonts w:ascii="Arial" w:eastAsia="Times New Roman" w:hAnsi="Arial" w:cs="Arial"/>
          <w:color w:val="auto"/>
          <w:sz w:val="20"/>
          <w:lang w:val="en-GB" w:eastAsia="tr-TR"/>
        </w:rPr>
        <w:t>18/10/2007</w:t>
      </w:r>
    </w:p>
    <w:p w:rsidR="006A022C" w:rsidRPr="00106154" w:rsidRDefault="00106154" w:rsidP="006A022C">
      <w:pPr>
        <w:spacing w:after="0" w:line="240" w:lineRule="auto"/>
        <w:rPr>
          <w:rFonts w:ascii="Arial" w:eastAsia="Times New Roman" w:hAnsi="Arial" w:cs="Arial"/>
          <w:color w:val="auto"/>
          <w:sz w:val="20"/>
          <w:lang w:val="en-GB" w:eastAsia="tr-TR"/>
        </w:rPr>
      </w:pPr>
      <w:proofErr w:type="spellStart"/>
      <w:r w:rsidRPr="00106154">
        <w:rPr>
          <w:rFonts w:ascii="Arial" w:eastAsia="Times New Roman" w:hAnsi="Arial" w:cs="Arial"/>
          <w:b/>
          <w:color w:val="auto"/>
          <w:sz w:val="20"/>
          <w:lang w:val="en-GB" w:eastAsia="tr-TR"/>
        </w:rPr>
        <w:t>Sayısı</w:t>
      </w:r>
      <w:proofErr w:type="spellEnd"/>
      <w:r w:rsidR="006A022C">
        <w:rPr>
          <w:rFonts w:ascii="Arial" w:eastAsia="Times New Roman" w:hAnsi="Arial" w:cs="Arial"/>
          <w:b/>
          <w:color w:val="auto"/>
          <w:sz w:val="20"/>
          <w:lang w:val="en-GB" w:eastAsia="tr-TR"/>
        </w:rPr>
        <w:t xml:space="preserve"> </w:t>
      </w:r>
      <w:r w:rsidR="006A022C" w:rsidRPr="00106154">
        <w:rPr>
          <w:rFonts w:ascii="Arial" w:eastAsia="Times New Roman" w:hAnsi="Arial" w:cs="Arial"/>
          <w:color w:val="auto"/>
          <w:sz w:val="20"/>
          <w:lang w:val="en-GB" w:eastAsia="tr-TR"/>
        </w:rPr>
        <w:t>26674</w:t>
      </w:r>
    </w:p>
    <w:p w:rsidR="00106154" w:rsidRPr="00106154" w:rsidRDefault="00106154" w:rsidP="006A022C">
      <w:pPr>
        <w:spacing w:after="0" w:line="240" w:lineRule="auto"/>
        <w:rPr>
          <w:rFonts w:ascii="Arial" w:eastAsia="Times New Roman" w:hAnsi="Arial" w:cs="Arial"/>
          <w:b/>
          <w:color w:val="auto"/>
          <w:sz w:val="20"/>
          <w:lang w:val="en-GB" w:eastAsia="tr-TR"/>
        </w:rPr>
      </w:pPr>
    </w:p>
    <w:sectPr w:rsidR="00106154" w:rsidRPr="00106154" w:rsidSect="00556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D34817" w:themeColor="accent1"/>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D34817" w:themeColor="accent1"/>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6154"/>
    <w:rsid w:val="00106154"/>
    <w:rsid w:val="001E296B"/>
    <w:rsid w:val="005562EF"/>
    <w:rsid w:val="006A022C"/>
    <w:rsid w:val="00B82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A7"/>
    <w:pPr>
      <w:spacing w:after="160"/>
    </w:pPr>
    <w:rPr>
      <w:color w:val="000000" w:themeColor="text1"/>
      <w:szCs w:val="20"/>
    </w:rPr>
  </w:style>
  <w:style w:type="paragraph" w:styleId="Balk1">
    <w:name w:val="heading 1"/>
    <w:basedOn w:val="Normal"/>
    <w:next w:val="Normal"/>
    <w:link w:val="Balk1Char"/>
    <w:uiPriority w:val="9"/>
    <w:qFormat/>
    <w:rsid w:val="00B827A7"/>
    <w:pPr>
      <w:spacing w:before="300" w:after="40" w:line="240" w:lineRule="auto"/>
      <w:outlineLvl w:val="0"/>
    </w:pPr>
    <w:rPr>
      <w:rFonts w:asciiTheme="majorHAnsi" w:hAnsiTheme="majorHAnsi" w:cs="Times New Roman"/>
      <w:b/>
      <w:color w:val="D34817" w:themeColor="accent1"/>
      <w:spacing w:val="20"/>
      <w:sz w:val="28"/>
      <w:szCs w:val="32"/>
    </w:rPr>
  </w:style>
  <w:style w:type="paragraph" w:styleId="Balk2">
    <w:name w:val="heading 2"/>
    <w:basedOn w:val="Normal"/>
    <w:next w:val="Normal"/>
    <w:link w:val="Balk2Char"/>
    <w:uiPriority w:val="9"/>
    <w:qFormat/>
    <w:rsid w:val="00B827A7"/>
    <w:pPr>
      <w:spacing w:before="240" w:after="40" w:line="240" w:lineRule="auto"/>
      <w:outlineLvl w:val="1"/>
    </w:pPr>
    <w:rPr>
      <w:rFonts w:asciiTheme="majorHAnsi" w:hAnsiTheme="majorHAnsi" w:cs="Times New Roman"/>
      <w:b/>
      <w:color w:val="D34817" w:themeColor="accent1"/>
      <w:spacing w:val="20"/>
      <w:sz w:val="24"/>
      <w:szCs w:val="28"/>
    </w:rPr>
  </w:style>
  <w:style w:type="paragraph" w:styleId="Balk3">
    <w:name w:val="heading 3"/>
    <w:basedOn w:val="Normal"/>
    <w:next w:val="Normal"/>
    <w:link w:val="Balk3Char"/>
    <w:uiPriority w:val="9"/>
    <w:qFormat/>
    <w:rsid w:val="00B827A7"/>
    <w:pPr>
      <w:spacing w:before="200" w:after="40" w:line="240" w:lineRule="auto"/>
      <w:outlineLvl w:val="2"/>
    </w:pPr>
    <w:rPr>
      <w:rFonts w:asciiTheme="majorHAnsi" w:hAnsiTheme="majorHAnsi" w:cs="Times New Roman"/>
      <w:b/>
      <w:color w:val="D34817" w:themeColor="accent1"/>
      <w:spacing w:val="20"/>
      <w:sz w:val="24"/>
      <w:szCs w:val="24"/>
    </w:rPr>
  </w:style>
  <w:style w:type="paragraph" w:styleId="Balk4">
    <w:name w:val="heading 4"/>
    <w:basedOn w:val="Normal"/>
    <w:next w:val="Normal"/>
    <w:link w:val="Balk4Char"/>
    <w:uiPriority w:val="9"/>
    <w:unhideWhenUsed/>
    <w:qFormat/>
    <w:rsid w:val="00B827A7"/>
    <w:pPr>
      <w:spacing w:before="240" w:after="0"/>
      <w:outlineLvl w:val="3"/>
    </w:pPr>
    <w:rPr>
      <w:rFonts w:asciiTheme="majorHAnsi" w:hAnsiTheme="majorHAnsi" w:cs="Times New Roman"/>
      <w:b/>
      <w:color w:val="A28E6A" w:themeColor="accent3"/>
      <w:spacing w:val="20"/>
      <w:sz w:val="24"/>
      <w:szCs w:val="22"/>
    </w:rPr>
  </w:style>
  <w:style w:type="paragraph" w:styleId="Balk5">
    <w:name w:val="heading 5"/>
    <w:basedOn w:val="Normal"/>
    <w:next w:val="Normal"/>
    <w:link w:val="Balk5Char"/>
    <w:uiPriority w:val="9"/>
    <w:unhideWhenUsed/>
    <w:qFormat/>
    <w:rsid w:val="00B827A7"/>
    <w:pPr>
      <w:spacing w:before="200" w:after="0"/>
      <w:outlineLvl w:val="4"/>
    </w:pPr>
    <w:rPr>
      <w:rFonts w:asciiTheme="majorHAnsi" w:hAnsiTheme="majorHAnsi" w:cs="Times New Roman"/>
      <w:b/>
      <w:i/>
      <w:color w:val="A28E6A" w:themeColor="accent3"/>
      <w:spacing w:val="20"/>
      <w:szCs w:val="26"/>
    </w:rPr>
  </w:style>
  <w:style w:type="paragraph" w:styleId="Balk6">
    <w:name w:val="heading 6"/>
    <w:basedOn w:val="Normal"/>
    <w:next w:val="Normal"/>
    <w:link w:val="Balk6Char"/>
    <w:uiPriority w:val="9"/>
    <w:unhideWhenUsed/>
    <w:qFormat/>
    <w:rsid w:val="00B827A7"/>
    <w:pPr>
      <w:spacing w:before="200" w:after="0"/>
      <w:outlineLvl w:val="5"/>
    </w:pPr>
    <w:rPr>
      <w:rFonts w:asciiTheme="majorHAnsi" w:hAnsiTheme="majorHAnsi" w:cs="Times New Roman"/>
      <w:color w:val="A28E6A" w:themeColor="accent3"/>
      <w:spacing w:val="10"/>
      <w:sz w:val="24"/>
    </w:rPr>
  </w:style>
  <w:style w:type="paragraph" w:styleId="Balk7">
    <w:name w:val="heading 7"/>
    <w:basedOn w:val="Normal"/>
    <w:next w:val="Normal"/>
    <w:link w:val="Balk7Char"/>
    <w:uiPriority w:val="9"/>
    <w:unhideWhenUsed/>
    <w:qFormat/>
    <w:rsid w:val="00B827A7"/>
    <w:pPr>
      <w:spacing w:before="200" w:after="0"/>
      <w:outlineLvl w:val="6"/>
    </w:pPr>
    <w:rPr>
      <w:rFonts w:asciiTheme="majorHAnsi" w:hAnsiTheme="majorHAnsi" w:cs="Times New Roman"/>
      <w:i/>
      <w:color w:val="A28E6A" w:themeColor="accent3"/>
      <w:spacing w:val="10"/>
      <w:sz w:val="24"/>
    </w:rPr>
  </w:style>
  <w:style w:type="paragraph" w:styleId="Balk8">
    <w:name w:val="heading 8"/>
    <w:basedOn w:val="Normal"/>
    <w:next w:val="Normal"/>
    <w:link w:val="Balk8Char"/>
    <w:uiPriority w:val="9"/>
    <w:unhideWhenUsed/>
    <w:qFormat/>
    <w:rsid w:val="00B827A7"/>
    <w:pPr>
      <w:spacing w:before="200" w:after="0"/>
      <w:outlineLvl w:val="7"/>
    </w:pPr>
    <w:rPr>
      <w:rFonts w:asciiTheme="majorHAnsi" w:hAnsiTheme="majorHAnsi" w:cs="Times New Roman"/>
      <w:color w:val="D34817" w:themeColor="accent1"/>
      <w:spacing w:val="10"/>
    </w:rPr>
  </w:style>
  <w:style w:type="paragraph" w:styleId="Balk9">
    <w:name w:val="heading 9"/>
    <w:basedOn w:val="Normal"/>
    <w:next w:val="Normal"/>
    <w:link w:val="Balk9Char"/>
    <w:uiPriority w:val="9"/>
    <w:unhideWhenUsed/>
    <w:qFormat/>
    <w:rsid w:val="00B827A7"/>
    <w:pPr>
      <w:spacing w:before="200" w:after="0"/>
      <w:outlineLvl w:val="8"/>
    </w:pPr>
    <w:rPr>
      <w:rFonts w:asciiTheme="majorHAnsi" w:hAnsiTheme="majorHAnsi" w:cs="Times New Roman"/>
      <w:i/>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27A7"/>
    <w:rPr>
      <w:rFonts w:asciiTheme="majorHAnsi" w:hAnsiTheme="majorHAnsi" w:cs="Times New Roman"/>
      <w:b/>
      <w:color w:val="D34817" w:themeColor="accent1"/>
      <w:spacing w:val="20"/>
      <w:sz w:val="28"/>
      <w:szCs w:val="32"/>
    </w:rPr>
  </w:style>
  <w:style w:type="character" w:customStyle="1" w:styleId="Balk2Char">
    <w:name w:val="Başlık 2 Char"/>
    <w:basedOn w:val="VarsaylanParagrafYazTipi"/>
    <w:link w:val="Balk2"/>
    <w:uiPriority w:val="9"/>
    <w:rsid w:val="00B827A7"/>
    <w:rPr>
      <w:rFonts w:asciiTheme="majorHAnsi" w:hAnsiTheme="majorHAnsi" w:cs="Times New Roman"/>
      <w:b/>
      <w:color w:val="D34817" w:themeColor="accent1"/>
      <w:spacing w:val="20"/>
      <w:sz w:val="24"/>
      <w:szCs w:val="28"/>
    </w:rPr>
  </w:style>
  <w:style w:type="character" w:customStyle="1" w:styleId="Balk3Char">
    <w:name w:val="Başlık 3 Char"/>
    <w:basedOn w:val="VarsaylanParagrafYazTipi"/>
    <w:link w:val="Balk3"/>
    <w:uiPriority w:val="9"/>
    <w:rsid w:val="00B827A7"/>
    <w:rPr>
      <w:rFonts w:asciiTheme="majorHAnsi" w:hAnsiTheme="majorHAnsi" w:cs="Times New Roman"/>
      <w:b/>
      <w:color w:val="D34817" w:themeColor="accent1"/>
      <w:spacing w:val="20"/>
      <w:sz w:val="24"/>
      <w:szCs w:val="24"/>
    </w:rPr>
  </w:style>
  <w:style w:type="character" w:customStyle="1" w:styleId="Balk4Char">
    <w:name w:val="Başlık 4 Char"/>
    <w:basedOn w:val="VarsaylanParagrafYazTipi"/>
    <w:link w:val="Balk4"/>
    <w:uiPriority w:val="9"/>
    <w:rsid w:val="00B827A7"/>
    <w:rPr>
      <w:rFonts w:asciiTheme="majorHAnsi" w:hAnsiTheme="majorHAnsi" w:cs="Times New Roman"/>
      <w:b/>
      <w:color w:val="A28E6A" w:themeColor="accent3"/>
      <w:spacing w:val="20"/>
      <w:sz w:val="24"/>
    </w:rPr>
  </w:style>
  <w:style w:type="character" w:customStyle="1" w:styleId="Balk5Char">
    <w:name w:val="Başlık 5 Char"/>
    <w:basedOn w:val="VarsaylanParagrafYazTipi"/>
    <w:link w:val="Balk5"/>
    <w:uiPriority w:val="9"/>
    <w:rsid w:val="00B827A7"/>
    <w:rPr>
      <w:rFonts w:asciiTheme="majorHAnsi" w:hAnsiTheme="majorHAnsi" w:cs="Times New Roman"/>
      <w:b/>
      <w:i/>
      <w:color w:val="A28E6A" w:themeColor="accent3"/>
      <w:spacing w:val="20"/>
      <w:szCs w:val="26"/>
    </w:rPr>
  </w:style>
  <w:style w:type="character" w:customStyle="1" w:styleId="Balk6Char">
    <w:name w:val="Başlık 6 Char"/>
    <w:basedOn w:val="VarsaylanParagrafYazTipi"/>
    <w:link w:val="Balk6"/>
    <w:uiPriority w:val="9"/>
    <w:rsid w:val="00B827A7"/>
    <w:rPr>
      <w:rFonts w:asciiTheme="majorHAnsi" w:hAnsiTheme="majorHAnsi" w:cs="Times New Roman"/>
      <w:color w:val="A28E6A" w:themeColor="accent3"/>
      <w:spacing w:val="10"/>
      <w:sz w:val="24"/>
      <w:szCs w:val="20"/>
    </w:rPr>
  </w:style>
  <w:style w:type="character" w:customStyle="1" w:styleId="Balk7Char">
    <w:name w:val="Başlık 7 Char"/>
    <w:basedOn w:val="VarsaylanParagrafYazTipi"/>
    <w:link w:val="Balk7"/>
    <w:uiPriority w:val="9"/>
    <w:rsid w:val="00B827A7"/>
    <w:rPr>
      <w:rFonts w:asciiTheme="majorHAnsi" w:hAnsiTheme="majorHAnsi" w:cs="Times New Roman"/>
      <w:i/>
      <w:color w:val="A28E6A" w:themeColor="accent3"/>
      <w:spacing w:val="10"/>
      <w:sz w:val="24"/>
      <w:szCs w:val="20"/>
    </w:rPr>
  </w:style>
  <w:style w:type="character" w:customStyle="1" w:styleId="Balk8Char">
    <w:name w:val="Başlık 8 Char"/>
    <w:basedOn w:val="VarsaylanParagrafYazTipi"/>
    <w:link w:val="Balk8"/>
    <w:uiPriority w:val="9"/>
    <w:rsid w:val="00B827A7"/>
    <w:rPr>
      <w:rFonts w:asciiTheme="majorHAnsi" w:hAnsiTheme="majorHAnsi" w:cs="Times New Roman"/>
      <w:color w:val="D34817" w:themeColor="accent1"/>
      <w:spacing w:val="10"/>
      <w:szCs w:val="20"/>
    </w:rPr>
  </w:style>
  <w:style w:type="character" w:customStyle="1" w:styleId="Balk9Char">
    <w:name w:val="Başlık 9 Char"/>
    <w:basedOn w:val="VarsaylanParagrafYazTipi"/>
    <w:link w:val="Balk9"/>
    <w:uiPriority w:val="9"/>
    <w:rsid w:val="00B827A7"/>
    <w:rPr>
      <w:rFonts w:asciiTheme="majorHAnsi" w:hAnsiTheme="majorHAnsi" w:cs="Times New Roman"/>
      <w:i/>
      <w:color w:val="D34817" w:themeColor="accent1"/>
      <w:spacing w:val="10"/>
      <w:szCs w:val="20"/>
    </w:rPr>
  </w:style>
  <w:style w:type="paragraph" w:styleId="T1">
    <w:name w:val="toc 1"/>
    <w:basedOn w:val="Normal"/>
    <w:next w:val="Normal"/>
    <w:autoRedefine/>
    <w:uiPriority w:val="99"/>
    <w:semiHidden/>
    <w:unhideWhenUsed/>
    <w:qFormat/>
    <w:rsid w:val="00B827A7"/>
    <w:pPr>
      <w:tabs>
        <w:tab w:val="right" w:leader="dot" w:pos="8630"/>
      </w:tabs>
      <w:spacing w:after="40" w:line="240" w:lineRule="auto"/>
    </w:pPr>
    <w:rPr>
      <w:rFonts w:cs="Times New Roman"/>
      <w:smallCaps/>
      <w:noProof/>
      <w:color w:val="9B2D1F" w:themeColor="accent2"/>
    </w:rPr>
  </w:style>
  <w:style w:type="paragraph" w:styleId="T2">
    <w:name w:val="toc 2"/>
    <w:basedOn w:val="Normal"/>
    <w:next w:val="Normal"/>
    <w:autoRedefine/>
    <w:uiPriority w:val="99"/>
    <w:semiHidden/>
    <w:unhideWhenUsed/>
    <w:qFormat/>
    <w:rsid w:val="00B827A7"/>
    <w:pPr>
      <w:tabs>
        <w:tab w:val="right" w:leader="dot" w:pos="8630"/>
      </w:tabs>
      <w:spacing w:after="40" w:line="240" w:lineRule="auto"/>
      <w:ind w:left="216"/>
    </w:pPr>
    <w:rPr>
      <w:rFonts w:cs="Times New Roman"/>
      <w:smallCaps/>
      <w:noProof/>
    </w:rPr>
  </w:style>
  <w:style w:type="paragraph" w:styleId="T3">
    <w:name w:val="toc 3"/>
    <w:basedOn w:val="Normal"/>
    <w:next w:val="Normal"/>
    <w:autoRedefine/>
    <w:uiPriority w:val="99"/>
    <w:semiHidden/>
    <w:unhideWhenUsed/>
    <w:qFormat/>
    <w:rsid w:val="00B827A7"/>
    <w:pPr>
      <w:tabs>
        <w:tab w:val="right" w:leader="dot" w:pos="8630"/>
      </w:tabs>
      <w:spacing w:after="40" w:line="240" w:lineRule="auto"/>
      <w:ind w:left="446"/>
    </w:pPr>
    <w:rPr>
      <w:rFonts w:cs="Times New Roman"/>
      <w:smallCaps/>
      <w:noProof/>
    </w:rPr>
  </w:style>
  <w:style w:type="paragraph" w:styleId="T4">
    <w:name w:val="toc 4"/>
    <w:basedOn w:val="Normal"/>
    <w:next w:val="Normal"/>
    <w:autoRedefine/>
    <w:uiPriority w:val="99"/>
    <w:semiHidden/>
    <w:unhideWhenUsed/>
    <w:qFormat/>
    <w:rsid w:val="00B827A7"/>
    <w:pPr>
      <w:tabs>
        <w:tab w:val="right" w:leader="dot" w:pos="8630"/>
      </w:tabs>
      <w:spacing w:after="40" w:line="240" w:lineRule="auto"/>
      <w:ind w:left="662"/>
    </w:pPr>
    <w:rPr>
      <w:rFonts w:cs="Times New Roman"/>
      <w:smallCaps/>
      <w:noProof/>
    </w:rPr>
  </w:style>
  <w:style w:type="paragraph" w:styleId="T5">
    <w:name w:val="toc 5"/>
    <w:basedOn w:val="Normal"/>
    <w:next w:val="Normal"/>
    <w:autoRedefine/>
    <w:uiPriority w:val="99"/>
    <w:semiHidden/>
    <w:unhideWhenUsed/>
    <w:qFormat/>
    <w:rsid w:val="00B827A7"/>
    <w:pPr>
      <w:tabs>
        <w:tab w:val="right" w:leader="dot" w:pos="8630"/>
      </w:tabs>
      <w:spacing w:after="40" w:line="240" w:lineRule="auto"/>
      <w:ind w:left="878"/>
    </w:pPr>
    <w:rPr>
      <w:rFonts w:cs="Times New Roman"/>
      <w:smallCaps/>
      <w:noProof/>
    </w:rPr>
  </w:style>
  <w:style w:type="paragraph" w:styleId="T6">
    <w:name w:val="toc 6"/>
    <w:basedOn w:val="Normal"/>
    <w:next w:val="Normal"/>
    <w:autoRedefine/>
    <w:uiPriority w:val="99"/>
    <w:semiHidden/>
    <w:unhideWhenUsed/>
    <w:qFormat/>
    <w:rsid w:val="00B827A7"/>
    <w:pPr>
      <w:tabs>
        <w:tab w:val="right" w:leader="dot" w:pos="8630"/>
      </w:tabs>
      <w:spacing w:after="40" w:line="240" w:lineRule="auto"/>
      <w:ind w:left="1094"/>
    </w:pPr>
    <w:rPr>
      <w:rFonts w:cs="Times New Roman"/>
      <w:smallCaps/>
      <w:noProof/>
    </w:rPr>
  </w:style>
  <w:style w:type="paragraph" w:styleId="T7">
    <w:name w:val="toc 7"/>
    <w:basedOn w:val="Normal"/>
    <w:next w:val="Normal"/>
    <w:autoRedefine/>
    <w:uiPriority w:val="99"/>
    <w:semiHidden/>
    <w:unhideWhenUsed/>
    <w:qFormat/>
    <w:rsid w:val="00B827A7"/>
    <w:pPr>
      <w:tabs>
        <w:tab w:val="right" w:leader="dot" w:pos="8630"/>
      </w:tabs>
      <w:spacing w:after="40" w:line="240" w:lineRule="auto"/>
      <w:ind w:left="1325"/>
    </w:pPr>
    <w:rPr>
      <w:rFonts w:cs="Times New Roman"/>
      <w:smallCaps/>
      <w:noProof/>
    </w:rPr>
  </w:style>
  <w:style w:type="paragraph" w:styleId="T8">
    <w:name w:val="toc 8"/>
    <w:basedOn w:val="Normal"/>
    <w:next w:val="Normal"/>
    <w:autoRedefine/>
    <w:uiPriority w:val="99"/>
    <w:semiHidden/>
    <w:unhideWhenUsed/>
    <w:qFormat/>
    <w:rsid w:val="00B827A7"/>
    <w:pPr>
      <w:tabs>
        <w:tab w:val="right" w:leader="dot" w:pos="8630"/>
      </w:tabs>
      <w:spacing w:after="40" w:line="240" w:lineRule="auto"/>
      <w:ind w:left="1540"/>
    </w:pPr>
    <w:rPr>
      <w:rFonts w:cs="Times New Roman"/>
      <w:smallCaps/>
      <w:noProof/>
    </w:rPr>
  </w:style>
  <w:style w:type="paragraph" w:styleId="T9">
    <w:name w:val="toc 9"/>
    <w:basedOn w:val="Normal"/>
    <w:next w:val="Normal"/>
    <w:autoRedefine/>
    <w:uiPriority w:val="99"/>
    <w:semiHidden/>
    <w:unhideWhenUsed/>
    <w:qFormat/>
    <w:rsid w:val="00B827A7"/>
    <w:pPr>
      <w:tabs>
        <w:tab w:val="right" w:leader="dot" w:pos="8630"/>
      </w:tabs>
      <w:spacing w:after="40" w:line="240" w:lineRule="auto"/>
      <w:ind w:left="1760"/>
    </w:pPr>
    <w:rPr>
      <w:rFonts w:cs="Times New Roman"/>
      <w:smallCaps/>
      <w:noProof/>
    </w:rPr>
  </w:style>
  <w:style w:type="paragraph" w:styleId="ResimYazs">
    <w:name w:val="caption"/>
    <w:basedOn w:val="Normal"/>
    <w:next w:val="Normal"/>
    <w:uiPriority w:val="35"/>
    <w:unhideWhenUsed/>
    <w:qFormat/>
    <w:rsid w:val="00B827A7"/>
    <w:pPr>
      <w:spacing w:after="0" w:line="240" w:lineRule="auto"/>
    </w:pPr>
    <w:rPr>
      <w:rFonts w:cs="Times New Roman"/>
      <w:bCs/>
      <w:smallCaps/>
      <w:color w:val="9B2D1F" w:themeColor="accent2"/>
      <w:spacing w:val="10"/>
      <w:sz w:val="18"/>
      <w:szCs w:val="18"/>
    </w:rPr>
  </w:style>
  <w:style w:type="paragraph" w:styleId="ListeMaddemi">
    <w:name w:val="List Bullet"/>
    <w:basedOn w:val="Normal"/>
    <w:uiPriority w:val="36"/>
    <w:unhideWhenUsed/>
    <w:qFormat/>
    <w:rsid w:val="00B827A7"/>
    <w:pPr>
      <w:numPr>
        <w:numId w:val="2"/>
      </w:numPr>
      <w:spacing w:after="0"/>
      <w:contextualSpacing/>
    </w:pPr>
    <w:rPr>
      <w:rFonts w:cs="Times New Roman"/>
    </w:rPr>
  </w:style>
  <w:style w:type="paragraph" w:styleId="ListeMaddemi2">
    <w:name w:val="List Bullet 2"/>
    <w:basedOn w:val="Normal"/>
    <w:uiPriority w:val="36"/>
    <w:unhideWhenUsed/>
    <w:qFormat/>
    <w:rsid w:val="00B827A7"/>
    <w:pPr>
      <w:numPr>
        <w:numId w:val="4"/>
      </w:numPr>
      <w:spacing w:after="0"/>
    </w:pPr>
    <w:rPr>
      <w:rFonts w:cs="Times New Roman"/>
    </w:rPr>
  </w:style>
  <w:style w:type="paragraph" w:styleId="ListeMaddemi3">
    <w:name w:val="List Bullet 3"/>
    <w:basedOn w:val="Normal"/>
    <w:uiPriority w:val="36"/>
    <w:unhideWhenUsed/>
    <w:qFormat/>
    <w:rsid w:val="00B827A7"/>
    <w:pPr>
      <w:numPr>
        <w:numId w:val="6"/>
      </w:numPr>
      <w:spacing w:after="0"/>
    </w:pPr>
    <w:rPr>
      <w:rFonts w:cs="Times New Roman"/>
    </w:rPr>
  </w:style>
  <w:style w:type="paragraph" w:styleId="ListeMaddemi4">
    <w:name w:val="List Bullet 4"/>
    <w:basedOn w:val="Normal"/>
    <w:uiPriority w:val="36"/>
    <w:unhideWhenUsed/>
    <w:qFormat/>
    <w:rsid w:val="00B827A7"/>
    <w:pPr>
      <w:numPr>
        <w:numId w:val="8"/>
      </w:numPr>
      <w:spacing w:after="0"/>
    </w:pPr>
    <w:rPr>
      <w:rFonts w:cs="Times New Roman"/>
    </w:rPr>
  </w:style>
  <w:style w:type="paragraph" w:styleId="ListeMaddemi5">
    <w:name w:val="List Bullet 5"/>
    <w:basedOn w:val="Normal"/>
    <w:uiPriority w:val="36"/>
    <w:unhideWhenUsed/>
    <w:qFormat/>
    <w:rsid w:val="00B827A7"/>
    <w:pPr>
      <w:numPr>
        <w:numId w:val="10"/>
      </w:numPr>
      <w:spacing w:after="0"/>
    </w:pPr>
    <w:rPr>
      <w:rFonts w:cs="Times New Roman"/>
    </w:rPr>
  </w:style>
  <w:style w:type="paragraph" w:styleId="KonuBal">
    <w:name w:val="Title"/>
    <w:basedOn w:val="Normal"/>
    <w:link w:val="KonuBalChar"/>
    <w:uiPriority w:val="10"/>
    <w:qFormat/>
    <w:rsid w:val="00B827A7"/>
    <w:pPr>
      <w:pBdr>
        <w:bottom w:val="single" w:sz="8" w:space="4" w:color="D34817" w:themeColor="accent1"/>
      </w:pBdr>
      <w:spacing w:line="240" w:lineRule="auto"/>
      <w:contextualSpacing/>
      <w:jc w:val="center"/>
    </w:pPr>
    <w:rPr>
      <w:rFonts w:asciiTheme="majorHAnsi" w:hAnsiTheme="majorHAnsi" w:cs="Times New Roman"/>
      <w:b/>
      <w:smallCaps/>
      <w:color w:val="D34817" w:themeColor="accent1"/>
      <w:sz w:val="48"/>
      <w:szCs w:val="48"/>
    </w:rPr>
  </w:style>
  <w:style w:type="character" w:customStyle="1" w:styleId="KonuBalChar">
    <w:name w:val="Konu Başlığı Char"/>
    <w:basedOn w:val="VarsaylanParagrafYazTipi"/>
    <w:link w:val="KonuBal"/>
    <w:uiPriority w:val="10"/>
    <w:rsid w:val="00B827A7"/>
    <w:rPr>
      <w:rFonts w:asciiTheme="majorHAnsi" w:hAnsiTheme="majorHAnsi" w:cs="Times New Roman"/>
      <w:b/>
      <w:smallCaps/>
      <w:color w:val="D34817" w:themeColor="accent1"/>
      <w:sz w:val="48"/>
      <w:szCs w:val="48"/>
    </w:rPr>
  </w:style>
  <w:style w:type="paragraph" w:styleId="AltKonuBal">
    <w:name w:val="Subtitle"/>
    <w:basedOn w:val="Normal"/>
    <w:link w:val="AltKonuBalChar"/>
    <w:uiPriority w:val="11"/>
    <w:qFormat/>
    <w:rsid w:val="00B827A7"/>
    <w:pPr>
      <w:spacing w:after="480" w:line="240" w:lineRule="auto"/>
      <w:jc w:val="center"/>
    </w:pPr>
    <w:rPr>
      <w:rFonts w:asciiTheme="majorHAnsi" w:hAnsiTheme="majorHAnsi" w:cstheme="minorHAnsi"/>
      <w:color w:val="auto"/>
      <w:sz w:val="28"/>
      <w:szCs w:val="24"/>
    </w:rPr>
  </w:style>
  <w:style w:type="character" w:customStyle="1" w:styleId="AltKonuBalChar">
    <w:name w:val="Alt Konu Başlığı Char"/>
    <w:basedOn w:val="VarsaylanParagrafYazTipi"/>
    <w:link w:val="AltKonuBal"/>
    <w:uiPriority w:val="11"/>
    <w:rsid w:val="00B827A7"/>
    <w:rPr>
      <w:rFonts w:asciiTheme="majorHAnsi" w:hAnsiTheme="majorHAnsi" w:cstheme="minorHAnsi"/>
      <w:sz w:val="28"/>
      <w:szCs w:val="24"/>
    </w:rPr>
  </w:style>
  <w:style w:type="character" w:styleId="Gl">
    <w:name w:val="Strong"/>
    <w:uiPriority w:val="22"/>
    <w:qFormat/>
    <w:rsid w:val="00B827A7"/>
    <w:rPr>
      <w:rFonts w:asciiTheme="minorHAnsi" w:hAnsiTheme="minorHAnsi"/>
      <w:b/>
      <w:color w:val="9B2D1F" w:themeColor="accent2"/>
    </w:rPr>
  </w:style>
  <w:style w:type="character" w:styleId="Vurgu">
    <w:name w:val="Emphasis"/>
    <w:uiPriority w:val="20"/>
    <w:qFormat/>
    <w:rsid w:val="00B827A7"/>
    <w:rPr>
      <w:b/>
      <w:i/>
      <w:color w:val="000000" w:themeColor="text1"/>
      <w:spacing w:val="2"/>
      <w:w w:val="100"/>
    </w:rPr>
  </w:style>
  <w:style w:type="paragraph" w:styleId="AralkYok">
    <w:name w:val="No Spacing"/>
    <w:basedOn w:val="Normal"/>
    <w:uiPriority w:val="1"/>
    <w:qFormat/>
    <w:rsid w:val="00B827A7"/>
    <w:pPr>
      <w:spacing w:after="0" w:line="240" w:lineRule="auto"/>
    </w:pPr>
    <w:rPr>
      <w:rFonts w:cs="Times New Roman"/>
    </w:rPr>
  </w:style>
  <w:style w:type="paragraph" w:styleId="ListeParagraf">
    <w:name w:val="List Paragraph"/>
    <w:basedOn w:val="Normal"/>
    <w:uiPriority w:val="34"/>
    <w:qFormat/>
    <w:rsid w:val="00B827A7"/>
    <w:pPr>
      <w:ind w:left="720"/>
      <w:contextualSpacing/>
    </w:pPr>
    <w:rPr>
      <w:rFonts w:cs="Times New Roman"/>
    </w:rPr>
  </w:style>
  <w:style w:type="paragraph" w:styleId="Trnak">
    <w:name w:val="Quote"/>
    <w:basedOn w:val="Normal"/>
    <w:link w:val="TrnakChar"/>
    <w:uiPriority w:val="29"/>
    <w:qFormat/>
    <w:rsid w:val="00B827A7"/>
    <w:rPr>
      <w:rFonts w:cs="Times New Roman"/>
      <w:i/>
      <w:color w:val="FFFFFF" w:themeColor="background1"/>
      <w:sz w:val="24"/>
    </w:rPr>
  </w:style>
  <w:style w:type="character" w:customStyle="1" w:styleId="TrnakChar">
    <w:name w:val="Tırnak Char"/>
    <w:basedOn w:val="VarsaylanParagrafYazTipi"/>
    <w:link w:val="Trnak"/>
    <w:uiPriority w:val="29"/>
    <w:rsid w:val="00B827A7"/>
    <w:rPr>
      <w:rFonts w:cs="Times New Roman"/>
      <w:i/>
      <w:color w:val="FFFFFF" w:themeColor="background1"/>
      <w:sz w:val="24"/>
      <w:szCs w:val="20"/>
    </w:rPr>
  </w:style>
  <w:style w:type="paragraph" w:styleId="KeskinTrnak">
    <w:name w:val="Intense Quote"/>
    <w:basedOn w:val="Normal"/>
    <w:link w:val="KeskinTrnakChar"/>
    <w:qFormat/>
    <w:rsid w:val="00B827A7"/>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imes New Roman"/>
      <w:i/>
      <w:color w:val="FFFFFF" w:themeColor="background1"/>
      <w:sz w:val="32"/>
    </w:rPr>
  </w:style>
  <w:style w:type="character" w:customStyle="1" w:styleId="KeskinTrnakChar">
    <w:name w:val="Keskin Tırnak Char"/>
    <w:basedOn w:val="VarsaylanParagrafYazTipi"/>
    <w:link w:val="KeskinTrnak"/>
    <w:rsid w:val="00B827A7"/>
    <w:rPr>
      <w:rFonts w:asciiTheme="majorHAnsi" w:hAnsiTheme="majorHAnsi" w:cs="Times New Roman"/>
      <w:i/>
      <w:color w:val="FFFFFF" w:themeColor="background1"/>
      <w:sz w:val="32"/>
      <w:szCs w:val="20"/>
      <w:shd w:val="clear" w:color="auto" w:fill="D34817" w:themeFill="accent1"/>
    </w:rPr>
  </w:style>
  <w:style w:type="character" w:styleId="HafifVurgulama">
    <w:name w:val="Subtle Emphasis"/>
    <w:basedOn w:val="VarsaylanParagrafYazTipi"/>
    <w:uiPriority w:val="19"/>
    <w:qFormat/>
    <w:rsid w:val="00B827A7"/>
    <w:rPr>
      <w:rFonts w:asciiTheme="minorHAnsi" w:hAnsiTheme="minorHAnsi" w:cs="Times New Roman"/>
      <w:i/>
      <w:color w:val="000000" w:themeColor="text1"/>
      <w:spacing w:val="2"/>
      <w:w w:val="100"/>
      <w:kern w:val="0"/>
      <w:sz w:val="22"/>
      <w:szCs w:val="24"/>
    </w:rPr>
  </w:style>
  <w:style w:type="character" w:styleId="GlVurgulama">
    <w:name w:val="Intense Emphasis"/>
    <w:basedOn w:val="VarsaylanParagrafYazTipi"/>
    <w:uiPriority w:val="21"/>
    <w:qFormat/>
    <w:rsid w:val="00B827A7"/>
    <w:rPr>
      <w:rFonts w:asciiTheme="minorHAnsi" w:hAnsiTheme="minorHAnsi" w:cs="Times New Roman"/>
      <w:b/>
      <w:i/>
      <w:smallCaps/>
      <w:color w:val="9B2D1F" w:themeColor="accent2"/>
      <w:spacing w:val="2"/>
      <w:w w:val="100"/>
      <w:sz w:val="20"/>
      <w:szCs w:val="20"/>
    </w:rPr>
  </w:style>
  <w:style w:type="character" w:styleId="HafifBavuru">
    <w:name w:val="Subtle Reference"/>
    <w:basedOn w:val="VarsaylanParagrafYazTipi"/>
    <w:uiPriority w:val="31"/>
    <w:qFormat/>
    <w:rsid w:val="00B827A7"/>
    <w:rPr>
      <w:rFonts w:cs="Times New Roman"/>
      <w:color w:val="000000" w:themeColor="text1"/>
      <w:sz w:val="22"/>
      <w:szCs w:val="20"/>
      <w:u w:val="single"/>
    </w:rPr>
  </w:style>
  <w:style w:type="character" w:styleId="GlBavuru">
    <w:name w:val="Intense Reference"/>
    <w:basedOn w:val="VarsaylanParagrafYazTipi"/>
    <w:uiPriority w:val="32"/>
    <w:qFormat/>
    <w:rsid w:val="00B827A7"/>
    <w:rPr>
      <w:rFonts w:cs="Times New Roman"/>
      <w:b/>
      <w:color w:val="D34817" w:themeColor="accent1"/>
      <w:sz w:val="22"/>
      <w:szCs w:val="20"/>
      <w:u w:val="single"/>
    </w:rPr>
  </w:style>
  <w:style w:type="character" w:styleId="KitapBal">
    <w:name w:val="Book Title"/>
    <w:basedOn w:val="VarsaylanParagrafYazTipi"/>
    <w:uiPriority w:val="33"/>
    <w:qFormat/>
    <w:rsid w:val="00B827A7"/>
    <w:rPr>
      <w:rFonts w:asciiTheme="majorHAnsi" w:hAnsiTheme="majorHAnsi" w:cs="Times New Roman"/>
      <w:i/>
      <w:color w:val="855D5D" w:themeColor="accent6"/>
      <w:sz w:val="20"/>
      <w:szCs w:val="20"/>
    </w:rPr>
  </w:style>
  <w:style w:type="paragraph" w:styleId="NormalWeb">
    <w:name w:val="Normal (Web)"/>
    <w:basedOn w:val="Normal"/>
    <w:uiPriority w:val="99"/>
    <w:unhideWhenUsed/>
    <w:rsid w:val="00106154"/>
    <w:pPr>
      <w:spacing w:before="100" w:beforeAutospacing="1" w:after="100" w:afterAutospacing="1" w:line="240" w:lineRule="auto"/>
    </w:pPr>
    <w:rPr>
      <w:rFonts w:ascii="Times New Roman" w:eastAsia="Times New Roman" w:hAnsi="Times New Roman" w:cs="Times New Roman"/>
      <w:color w:val="auto"/>
      <w:sz w:val="24"/>
      <w:szCs w:val="24"/>
      <w:lang w:val="tr-TR" w:eastAsia="tr-TR"/>
    </w:rPr>
  </w:style>
  <w:style w:type="paragraph" w:customStyle="1" w:styleId="3-NormalYaz">
    <w:name w:val="3-Normal Yazı"/>
    <w:rsid w:val="00106154"/>
    <w:pPr>
      <w:tabs>
        <w:tab w:val="left" w:pos="566"/>
      </w:tabs>
      <w:spacing w:after="0" w:line="240" w:lineRule="auto"/>
      <w:jc w:val="both"/>
    </w:pPr>
    <w:rPr>
      <w:rFonts w:ascii="Times New Roman" w:eastAsia="Times New Roman" w:hAnsi="Times New Roman" w:cs="Times New Roman"/>
      <w:sz w:val="19"/>
      <w:szCs w:val="20"/>
      <w:lang w:val="tr-TR"/>
    </w:rPr>
  </w:style>
  <w:style w:type="paragraph" w:customStyle="1" w:styleId="1-Baslk">
    <w:name w:val="1-Baslık"/>
    <w:rsid w:val="00106154"/>
    <w:pPr>
      <w:tabs>
        <w:tab w:val="left" w:pos="566"/>
      </w:tabs>
      <w:spacing w:after="0" w:line="240" w:lineRule="auto"/>
    </w:pPr>
    <w:rPr>
      <w:rFonts w:ascii="Times New Roman" w:eastAsia="Times New Roman" w:hAnsi="Times New Roman" w:cs="Times New Roman"/>
      <w:szCs w:val="20"/>
      <w:u w:val="single"/>
      <w:lang w:val="tr-TR"/>
    </w:rPr>
  </w:style>
  <w:style w:type="paragraph" w:customStyle="1" w:styleId="2-OrtaBaslk">
    <w:name w:val="2-Orta Baslık"/>
    <w:rsid w:val="00106154"/>
    <w:pPr>
      <w:spacing w:after="0" w:line="240" w:lineRule="auto"/>
      <w:jc w:val="center"/>
    </w:pPr>
    <w:rPr>
      <w:rFonts w:ascii="Times New Roman" w:eastAsia="Times New Roman" w:hAnsi="Times New Roman" w:cs="Times New Roman"/>
      <w:b/>
      <w:sz w:val="19"/>
      <w:szCs w:val="20"/>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145C-F2B6-42F7-A09A-23C09FD6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3443</Words>
  <Characters>19627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6648</dc:creator>
  <cp:keywords/>
  <dc:description/>
  <cp:lastModifiedBy>EGM 6648</cp:lastModifiedBy>
  <cp:revision>1</cp:revision>
  <dcterms:created xsi:type="dcterms:W3CDTF">2010-07-28T05:45:00Z</dcterms:created>
  <dcterms:modified xsi:type="dcterms:W3CDTF">2010-07-28T06:15:00Z</dcterms:modified>
</cp:coreProperties>
</file>